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Relations</w:t>
      </w:r>
      <w:r>
        <w:t xml:space="preserve"> </w:t>
      </w:r>
      <w:r>
        <w:t xml:space="preserve">between</w:t>
      </w:r>
      <w:r>
        <w:t xml:space="preserve"> </w:t>
      </w:r>
      <w:r>
        <w:t xml:space="preserve">early</w:t>
      </w:r>
      <w:r>
        <w:t xml:space="preserve"> </w:t>
      </w:r>
      <w:r>
        <w:t xml:space="preserve">entrance</w:t>
      </w:r>
      <w:r>
        <w:t xml:space="preserve"> </w:t>
      </w:r>
      <w:r>
        <w:t xml:space="preserve">to</w:t>
      </w:r>
      <w:r>
        <w:t xml:space="preserve"> </w:t>
      </w:r>
      <w:r>
        <w:t xml:space="preserve">childcare</w:t>
      </w:r>
      <w:r>
        <w:t xml:space="preserve"> </w:t>
      </w:r>
      <w:r>
        <w:t xml:space="preserve">and</w:t>
      </w:r>
      <w:r>
        <w:t xml:space="preserve"> </w:t>
      </w:r>
      <w:r>
        <w:t xml:space="preserve">infant</w:t>
      </w:r>
      <w:r>
        <w:t xml:space="preserve"> </w:t>
      </w:r>
      <w:r>
        <w:t xml:space="preserve">intestinal</w:t>
      </w:r>
      <w:r>
        <w:t xml:space="preserve"> </w:t>
      </w:r>
      <w:r>
        <w:t xml:space="preserve">microbiota</w:t>
      </w:r>
    </w:p>
    <w:tbl>
      <w:tblPr>
        <w:tblStyle w:val="TableNormal"/>
        <w:tblW w:type="pct" w:w="5000.0"/>
        <w:tblLook/>
      </w:tblPr>
      <w:tblGrid>
        <w:gridCol w:w="7920"/>
      </w:tblGrid>
      <w:tr>
        <w:tc>
          <w:p>
            <w:pPr>
              <w:pStyle w:val="Compact"/>
              <w:jc w:val="center"/>
            </w:pPr>
            <w:r>
              <w:t xml:space="preserve">Henrik Eckermann</w:t>
            </w:r>
            <w:r>
              <w:rPr>
                <w:vertAlign w:val="superscript"/>
              </w:rPr>
              <w:t xml:space="preserve">1</w:t>
            </w:r>
            <w:r>
              <w:t xml:space="preserve">, Gerben Hermes</w:t>
            </w:r>
            <w:r>
              <w:rPr>
                <w:vertAlign w:val="superscript"/>
              </w:rPr>
              <w:t xml:space="preserve">2</w:t>
            </w:r>
            <w:r>
              <w:t xml:space="preserve">, &amp; Carolina de Weerth</w:t>
            </w:r>
            <w:r>
              <w:rPr>
                <w:vertAlign w:val="superscript"/>
              </w:rPr>
              <w:t xml:space="preserve">1</w:t>
            </w:r>
          </w:p>
        </w:tc>
      </w:tr>
      <w:tr>
        <w:tc>
          <w:p>
            <w:pPr>
              <w:pStyle w:val="Compact"/>
              <w:jc w:val="center"/>
            </w:pPr>
            <w:r>
              <w:rPr>
                <w:vertAlign w:val="superscript"/>
              </w:rPr>
              <w:t xml:space="preserve">1</w:t>
            </w:r>
            <w:r>
              <w:t xml:space="preserve"> </w:t>
            </w:r>
            <w:r>
              <w:t xml:space="preserve">Radboud University Nijmegen</w:t>
            </w:r>
          </w:p>
        </w:tc>
      </w:tr>
      <w:tr>
        <w:tc>
          <w:p>
            <w:pPr>
              <w:pStyle w:val="Compact"/>
              <w:jc w:val="center"/>
            </w:pPr>
            <w:r>
              <w:rPr>
                <w:vertAlign w:val="superscript"/>
              </w:rPr>
              <w:t xml:space="preserve">2</w:t>
            </w:r>
            <w:r>
              <w:t xml:space="preserve"> </w:t>
            </w:r>
            <w:r>
              <w:t xml:space="preserve">Wageningen University</w:t>
            </w:r>
          </w:p>
        </w:tc>
      </w:tr>
      <w:tr>
        <w:tc>
          <w:p>
            <w:pPr>
              <w:pStyle w:val="Compact"/>
              <w:jc w:val="center"/>
            </w:pPr>
            <w:r>
              <w:t xml:space="preserve">                                                                                                                                                    </w:t>
            </w:r>
          </w:p>
        </w:tc>
      </w:tr>
    </w:tbl>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berschrift1"/>
      </w:pPr>
      <w:bookmarkStart w:id="21" w:name="author-note"/>
      <w:bookmarkEnd w:id="21"/>
      <w:r>
        <w:t xml:space="preserve">Author note</w:t>
      </w:r>
    </w:p>
    <w:p>
      <w:pPr>
        <w:pStyle w:val="FirstParagraph"/>
      </w:pPr>
      <w:r>
        <w:t xml:space="preserve">Correspondence concerning this article should be addressed to Henrik Eckermann, Kreuzfurth 10, 47559 Kranenburg, Germany. E-mail:</w:t>
      </w:r>
      <w:r>
        <w:t xml:space="preserve"> </w:t>
      </w:r>
      <w:hyperlink r:id="rId22">
        <w:r>
          <w:rPr>
            <w:rStyle w:val="Hyperlink"/>
          </w:rPr>
          <w:t xml:space="preserve">h.eckermann@student.ru.nl</w:t>
        </w:r>
      </w:hyperlink>
    </w:p>
    <w:p>
      <w:pPr>
        <w:pStyle w:val="Compact"/>
        <w:pStyle w:val="Titel"/>
      </w:pPr>
      <w:r>
        <w:t xml:space="preserve">Abstract</w:t>
      </w:r>
    </w:p>
    <w:p>
      <w:pPr>
        <w:pStyle w:val="Textkrper"/>
      </w:pPr>
      <w:r>
        <w:t xml:space="preserve">Attending center based childcare (CC) at three months of life can be an important life changing event that includes major stressors such as long maternal separations and frequently changing caregivers. These in turn may alter the composition of the gut microbiota with possible implications for future health outcomes. As part of an ongoing longitudinal study, we investigated whether CC compared to being cared by the mother at home alters the composition of the gut microbiota and whether breastfeeding buffers the potential effect of CC on the microbiota. Stool samples of infants who entered CC (n=49) and control infants (n=49) were obtained before and four weeks after CC entrance. We did not observe an effect of CC on overall community composition. Infants who entered CC had lower alpha diversity post CC compared to no CC or pre CC.</w:t>
      </w:r>
    </w:p>
    <w:p>
      <w:pPr>
        <w:pStyle w:val="Textkrper"/>
      </w:pPr>
      <w:r>
        <w:rPr>
          <w:i/>
        </w:rPr>
        <w:t xml:space="preserve">Keywords:</w:t>
      </w:r>
      <w:r>
        <w:t xml:space="preserve"> </w:t>
      </w:r>
      <w:r>
        <w:t xml:space="preserve">microbiota, childcare, breastfeeding, early life stress</w:t>
      </w:r>
    </w:p>
    <w:p>
      <w:pPr>
        <w:pStyle w:val="Textkrper"/>
      </w:pPr>
      <w:r>
        <w:rPr>
          <w:i/>
        </w:rPr>
        <w:t xml:space="preserve">Word count:</w:t>
      </w:r>
      <w:r>
        <w:t xml:space="preserve"> </w:t>
      </w:r>
      <w:r>
        <w:t xml:space="preserve">138</w:t>
      </w:r>
    </w:p>
    <w:p>
      <w:pPr>
        <w:pStyle w:val="Compact"/>
        <w:pStyle w:val="Titel"/>
      </w:pPr>
      <w:r>
        <w:t xml:space="preserve">Relations between early entrance to childcare and infant intestinal microbiota</w:t>
      </w:r>
    </w:p>
    <w:p>
      <w:pPr>
        <w:pStyle w:val="berschrift1"/>
      </w:pPr>
      <w:bookmarkStart w:id="23" w:name="introduction"/>
      <w:bookmarkEnd w:id="23"/>
      <w:r>
        <w:t xml:space="preserve">1. Introduction</w:t>
      </w:r>
    </w:p>
    <w:p>
      <w:pPr>
        <w:pStyle w:val="FirstParagraph"/>
      </w:pPr>
      <w:r>
        <w:t xml:space="preserve">Early life stress, especially if chronic, is related to negative behavioral, cognitive and health outcomes. Entering center-based childcare (CC) at three months of life, the normal age in the Netherlands, is an important change or</w:t>
      </w:r>
      <w:r>
        <w:t xml:space="preserve"> </w:t>
      </w:r>
      <w:r>
        <w:t xml:space="preserve">‘</w:t>
      </w:r>
      <w:r>
        <w:t xml:space="preserve">life event</w:t>
      </w:r>
      <w:r>
        <w:t xml:space="preserve">’</w:t>
      </w:r>
      <w:r>
        <w:t xml:space="preserve"> </w:t>
      </w:r>
      <w:r>
        <w:t xml:space="preserve">for an infant. CC includes stressors such a long maternal separations, new and frequently changing caregivers and peers, and adaptation to a new physical environment. From our own and other studies, we know that entering childcare produces significant increases in cortisol levels as compared to levels in the home environment, and that cortisol continues to increase until at least a month after entering</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 CC has also been related to more health symptoms and illnesses including diarrhea and communicable diseases such as respiratory illnesses and otitis media</w:t>
      </w:r>
      <w:r>
        <w:t xml:space="preserve"> </w:t>
      </w:r>
      <w:r>
        <w:t xml:space="preserve">(</w:t>
      </w:r>
      <w:r>
        <w:rPr>
          <w:b/>
        </w:rPr>
        <w:t xml:space="preserve">???</w:t>
      </w:r>
      <w:r>
        <w:t xml:space="preserve">,</w:t>
      </w:r>
      <w:r>
        <w:t xml:space="preserve"> </w:t>
      </w:r>
      <w:r>
        <w:rPr>
          <w:b/>
        </w:rPr>
        <w:t xml:space="preserve">???</w:t>
      </w:r>
      <w:r>
        <w:t xml:space="preserve">)</w:t>
      </w:r>
      <w:r>
        <w:t xml:space="preserve">.</w:t>
      </w:r>
    </w:p>
    <w:p>
      <w:pPr>
        <w:pStyle w:val="Textkrper"/>
      </w:pPr>
      <w:r>
        <w:t xml:space="preserve">A growing body of evidence indicates that the intestinal microbiota might play an important role in how such early life stressors influence future health outcomes and behavior. Firstly, in human studies gut microbiota composition is associated with several pediatric disorders including allergic and autoimmune diseases</w:t>
      </w:r>
      <w:r>
        <w:t xml:space="preserve"> </w:t>
      </w:r>
      <w:r>
        <w:t xml:space="preserve">(</w:t>
      </w:r>
      <w:r>
        <w:rPr>
          <w:b/>
        </w:rPr>
        <w:t xml:space="preserve">???</w:t>
      </w:r>
      <w:r>
        <w:t xml:space="preserve">)</w:t>
      </w:r>
      <w:r>
        <w:t xml:space="preserve">. For example,</w:t>
      </w:r>
      <w:r>
        <w:t xml:space="preserve"> </w:t>
      </w:r>
      <w:r>
        <w:t xml:space="preserve">(</w:t>
      </w:r>
      <w:r>
        <w:rPr>
          <w:b/>
        </w:rPr>
        <w:t xml:space="preserve">???</w:t>
      </w:r>
      <w:r>
        <w:t xml:space="preserve">)</w:t>
      </w:r>
      <w:r>
        <w:t xml:space="preserve"> </w:t>
      </w:r>
      <w:r>
        <w:t xml:space="preserve">found a lower richness and increased</w:t>
      </w:r>
      <w:r>
        <w:t xml:space="preserve"> </w:t>
      </w:r>
      <w:r>
        <w:rPr>
          <w:i/>
        </w:rPr>
        <w:t xml:space="preserve">Enterobacteriaceae/Bacteroidetes</w:t>
      </w:r>
      <w:r>
        <w:t xml:space="preserve"> </w:t>
      </w:r>
      <w:r>
        <w:t xml:space="preserve">ratio in infant stool to be associated with subsequent food sensitization in the population based Canadian Healthy Infant Longitudinal Development (CHILD) birth cohort study. Secondly, animal studies indicate that stress affects the gut microbiota, which in turn leads to inflammatory immune processes and even behavioral changes. For example, rodent studies showed that early life stress induced by maternal separation led to alternations of the intestinal barrier function and the microbiota</w:t>
      </w:r>
      <w:r>
        <w:t xml:space="preserve"> </w:t>
      </w:r>
      <w:r>
        <w:t xml:space="preserve">(</w:t>
      </w:r>
      <w:r>
        <w:rPr>
          <w:b/>
        </w:rPr>
        <w:t xml:space="preserve">???</w:t>
      </w:r>
      <w:r>
        <w:t xml:space="preserve">)</w:t>
      </w:r>
      <w:r>
        <w:t xml:space="preserve">. These alternations were accompanied by behavioral changes that in one study have been found to be mediated by the intestinal bacteria</w:t>
      </w:r>
      <w:r>
        <w:t xml:space="preserve"> </w:t>
      </w:r>
      <w:r>
        <w:t xml:space="preserve">(</w:t>
      </w:r>
      <w:r>
        <w:rPr>
          <w:b/>
        </w:rPr>
        <w:t xml:space="preserve">???</w:t>
      </w:r>
      <w:r>
        <w:t xml:space="preserve">)</w:t>
      </w:r>
      <w:r>
        <w:t xml:space="preserve">. Interestingly, the administration of probiotics could prevent or ameliorate stress induced effects</w:t>
      </w:r>
      <w:r>
        <w:t xml:space="preserve"> </w:t>
      </w:r>
      <w:r>
        <w:t xml:space="preserve">(</w:t>
      </w:r>
      <w:r>
        <w:rPr>
          <w:b/>
        </w:rPr>
        <w:t xml:space="preserve">???</w:t>
      </w:r>
      <w:r>
        <w:t xml:space="preserve">)</w:t>
      </w:r>
      <w:r>
        <w:t xml:space="preserve">. In rhesus monkeys, maternal separation also altered the composition of the intestinal microbiota of the offspring by decreasing the number</w:t>
      </w:r>
      <w:r>
        <w:t xml:space="preserve"> </w:t>
      </w:r>
      <w:r>
        <w:rPr>
          <w:i/>
        </w:rPr>
        <w:t xml:space="preserve">Lactobacilli</w:t>
      </w:r>
      <w:r>
        <w:t xml:space="preserve"> </w:t>
      </w:r>
      <w:r>
        <w:t xml:space="preserve">(</w:t>
      </w:r>
      <w:r>
        <w:rPr>
          <w:b/>
        </w:rPr>
        <w:t xml:space="preserve">???</w:t>
      </w:r>
      <w:r>
        <w:t xml:space="preserve">)</w:t>
      </w:r>
      <w:r>
        <w:t xml:space="preserve">. However, we lack studies that investigated the effect of early life stress on the development of the gut microbiota composition in humans and specifically the effect of CC on the infant gut microbiota composition has not been studied at all.</w:t>
      </w:r>
      <w:r>
        <w:br w:type="textWrapping"/>
      </w:r>
      <w:r>
        <w:t xml:space="preserve">Among the better studied factors that influence the development of the infant gut microbiota are diet and specifically breastfeeding. Breastfeeding increases the abundance of Lactobacilli and Bifidobacteria species when compared to formula fed infants</w:t>
      </w:r>
      <w:r>
        <w:t xml:space="preserve"> </w:t>
      </w:r>
      <w:r>
        <w:t xml:space="preserve">(</w:t>
      </w:r>
      <w:r>
        <w:rPr>
          <w:b/>
        </w:rPr>
        <w:t xml:space="preserve">???</w:t>
      </w:r>
      <w:r>
        <w:t xml:space="preserve">,</w:t>
      </w:r>
      <w:r>
        <w:t xml:space="preserve"> </w:t>
      </w:r>
      <w:r>
        <w:rPr>
          <w:b/>
        </w:rPr>
        <w:t xml:space="preserve">???</w:t>
      </w:r>
      <w:r>
        <w:t xml:space="preserve">)</w:t>
      </w:r>
      <w:r>
        <w:t xml:space="preserve">.</w:t>
      </w:r>
      <w:r>
        <w:t xml:space="preserve"> </w:t>
      </w:r>
      <w:r>
        <w:t xml:space="preserve">(</w:t>
      </w:r>
      <w:r>
        <w:rPr>
          <w:b/>
        </w:rPr>
        <w:t xml:space="preserve">???</w:t>
      </w:r>
      <w:r>
        <w:t xml:space="preserve">)</w:t>
      </w:r>
      <w:r>
        <w:t xml:space="preserve"> </w:t>
      </w:r>
      <w:r>
        <w:t xml:space="preserve">described how oligosaccharides present in human breast milk selectively stimulate the growth of Bifidobacteria. Finally, there is evidence suggesting that breast milk contains bacteria that colonize the infant gut. For instance,</w:t>
      </w:r>
      <w:r>
        <w:t xml:space="preserve"> </w:t>
      </w:r>
      <w:r>
        <w:t xml:space="preserve">(</w:t>
      </w:r>
      <w:r>
        <w:rPr>
          <w:b/>
        </w:rPr>
        <w:t xml:space="preserve">???</w:t>
      </w:r>
      <w:r>
        <w:t xml:space="preserve">)</w:t>
      </w:r>
      <w:r>
        <w:t xml:space="preserve"> </w:t>
      </w:r>
      <w:r>
        <w:t xml:space="preserve">describe that on average, 27.7% of the infant gut microbiome resembles the microbiome of the mother’s breast milk and 10.3% resembles the microbiome of the mother’s areolar skin. In contrast to early life stress, breastfeeding is known to be a health promoting factor in early life</w:t>
      </w:r>
      <w:r>
        <w:t xml:space="preserve"> </w:t>
      </w:r>
      <w:r>
        <w:t xml:space="preserve">(</w:t>
      </w:r>
      <w:r>
        <w:rPr>
          <w:b/>
        </w:rPr>
        <w:t xml:space="preserve">???</w:t>
      </w:r>
      <w:r>
        <w:t xml:space="preserve">)</w:t>
      </w:r>
      <w:r>
        <w:t xml:space="preserve">.</w:t>
      </w:r>
      <w:r>
        <w:br w:type="textWrapping"/>
      </w:r>
      <w:r>
        <w:t xml:space="preserve">Altogether, this research suggests that early life stress might impair the development of the intestinal microbiota with possible long term effects on physical health and behavior and that breastfeeding might be a protective factor against the negative influence of stress. In this study we investigated whether the entrance to CC leads to changes in the intestinal microbiota and whether breastfeeding plays a role in this relationship. We obtained stool samples from infants who entered CC (</w:t>
      </w:r>
      <w:r>
        <w:rPr>
          <w:i/>
        </w:rPr>
        <w:t xml:space="preserve">n</w:t>
      </w:r>
      <w:r>
        <w:t xml:space="preserve">=49) and control infants (</w:t>
      </w:r>
      <w:r>
        <w:rPr>
          <w:i/>
        </w:rPr>
        <w:t xml:space="preserve">n</w:t>
      </w:r>
      <w:r>
        <w:t xml:space="preserve">=49) before the entrance at 10 weeks of age (T0) and four weeks after the entrance (T1). We hypothesized (1) that we find no differences in the composition of the intestinal microbiota between infants who entered CC and control infants at T0 but that we find differences at at T1. The effect of CC might be moderated by a buffering effect of breastfeeding on microbiota changes. Therefore, (2) we anticipate a smaller change in microbiota composition in the breastfed group compared to the non breastfed group of infants that attended CC.</w:t>
      </w:r>
    </w:p>
    <w:p>
      <w:pPr>
        <w:pStyle w:val="berschrift1"/>
      </w:pPr>
      <w:bookmarkStart w:id="24" w:name="methods"/>
      <w:bookmarkEnd w:id="24"/>
      <w:r>
        <w:t xml:space="preserve">2. Methods</w:t>
      </w:r>
    </w:p>
    <w:p>
      <w:pPr>
        <w:pStyle w:val="berschrift2"/>
      </w:pPr>
      <w:bookmarkStart w:id="25" w:name="participants"/>
      <w:bookmarkEnd w:id="25"/>
      <w:r>
        <w:t xml:space="preserve">2.1 Participants</w:t>
      </w:r>
    </w:p>
    <w:p>
      <w:pPr>
        <w:pStyle w:val="FirstParagraph"/>
      </w:pPr>
      <w:r>
        <w:t xml:space="preserve">As part of an ongoing longitudinal study (Bibo study), 220 mothers were followed since the third trimester of pregnancy, to investigate the influences of early caregiving factors on the early development of children. Uncomplicated singleton pregnancy, proficiency in the Dutch language, no drug use and the absence of physical and mental health problems were criteria for initial inclusion. Eight of the 220 women were excluded due to preterm birth or for other medical reasons. In addition, 19 mothers discontinued participation in the study during the first three postpartum months because of personal circumstances. All infants were healthy and born at full term (</w:t>
      </w:r>
      <m:oMath>
        <m:r>
          <m:t>≥</m:t>
        </m:r>
      </m:oMath>
      <w:r>
        <w:t xml:space="preserve"> </w:t>
      </w:r>
      <w:r>
        <w:t xml:space="preserve">37 weeks). Infants born by cesarean delivery (n=4) and who had used antibiotics (n=4) were excluded. Out of a total of 9 fecal samples that were available per infant, 2 were selected for this study: Ten weeks post-partum before entrance to CC (T0) and 4 weeks after the entrance (T1). If there was no sample obtained at both times points, the infant was excluded. Seven samples were excluded for technical reasons. For these samples, the Pearson correlation of</w:t>
      </w:r>
      <w:r>
        <w:t xml:space="preserve"> </w:t>
      </w:r>
      <m:oMath>
        <m:r>
          <m:t> </m:t>
        </m:r>
        <m:r>
          <m:t>.98</m:t>
        </m:r>
      </m:oMath>
      <w:r>
        <w:t xml:space="preserve"> </w:t>
      </w:r>
      <w:r>
        <w:t xml:space="preserve">between duplicate bacterial profiles was not reached. The final sample included 49 infants per group. The study has been approved by the ethical Committee of the Faculty of Social Sciences, Radboud University Nijmegen (ECG / AvdK/07.563) and informed consent was obtained from each mother.</w:t>
      </w:r>
    </w:p>
    <w:p>
      <w:pPr>
        <w:pStyle w:val="berschrift2"/>
      </w:pPr>
      <w:bookmarkStart w:id="26" w:name="procedure"/>
      <w:bookmarkEnd w:id="26"/>
      <w:r>
        <w:t xml:space="preserve">2.2 Procedure</w:t>
      </w:r>
    </w:p>
    <w:p>
      <w:pPr>
        <w:pStyle w:val="berschrift3"/>
      </w:pPr>
      <w:bookmarkStart w:id="27" w:name="breastfeeding"/>
      <w:bookmarkEnd w:id="27"/>
      <w:r>
        <w:t xml:space="preserve">2.2.1 Breastfeeding</w:t>
      </w:r>
    </w:p>
    <w:p>
      <w:pPr>
        <w:pStyle w:val="FirstParagraph"/>
      </w:pPr>
      <w:r>
        <w:t xml:space="preserve">Information about breastfeeding was collected through the use of diaries. The mothers received diaries towards the end of their pregnancy with instructions to take weekly notes about breastfeeding and bottle-feeding from week 1 until week 27 after birth. For each week, the average number of breast- and/or bottle- feedings per day were noted. We used the average number of breastfeedings per day until timepoint PRE and the average number of breastfeedings per day between timepoints PRE and POST as confounding variables in the analyses.</w:t>
      </w:r>
    </w:p>
    <w:p>
      <w:pPr>
        <w:pStyle w:val="berschrift3"/>
      </w:pPr>
      <w:bookmarkStart w:id="28" w:name="faeces-collection-dna-isolation-and-microbiota-profiling"/>
      <w:bookmarkEnd w:id="28"/>
      <w:r>
        <w:t xml:space="preserve">2.2.2 Faeces collection, DNA isolation and microbiota profiling</w:t>
      </w:r>
    </w:p>
    <w:p>
      <w:pPr>
        <w:pStyle w:val="FirstParagraph"/>
      </w:pPr>
      <w:r>
        <w:t xml:space="preserve">The parents were instructed to collect the fecal samples at home and to store them at -20°C. Samples were kept in coolers for transportation and then stored at -20°C and later at -80°C before being processed at the Microbiology Laboratory at Wageningen University. DNA isolation from faecal samples has been described in detail elsewhere</w:t>
      </w:r>
      <w:r>
        <w:t xml:space="preserve"> </w:t>
      </w:r>
      <w:r>
        <w:t xml:space="preserve">(</w:t>
      </w:r>
      <w:r>
        <w:rPr>
          <w:b/>
        </w:rPr>
        <w:t xml:space="preserve">???</w:t>
      </w:r>
      <w:r>
        <w:t xml:space="preserve">)</w:t>
      </w:r>
      <w:r>
        <w:t xml:space="preserve">. In brief, DNA was isolated using a combination of column purification and Repeated-Bead-Beating. Purity and concentration of DNA were assessed with a Nanodrop 1000 spectrophotometer (Thermo Fisher Scientific, Wilmington, USA). DNA was then stored at -20 C° pending microbial analysis. The analysis was then performed utilizing a previously benchmarked custom made, phylogenetic microarray, the Human Intestinal Tract Chip (HITChip)</w:t>
      </w:r>
      <w:r>
        <w:t xml:space="preserve"> </w:t>
      </w:r>
      <w:r>
        <w:t xml:space="preserve">(</w:t>
      </w:r>
      <w:r>
        <w:rPr>
          <w:b/>
        </w:rPr>
        <w:t xml:space="preserve">???</w:t>
      </w:r>
      <w:r>
        <w:t xml:space="preserve">,</w:t>
      </w:r>
      <w:r>
        <w:t xml:space="preserve"> </w:t>
      </w:r>
      <w:r>
        <w:rPr>
          <w:b/>
        </w:rPr>
        <w:t xml:space="preserve">???</w:t>
      </w:r>
      <w:r>
        <w:t xml:space="preserve">)</w:t>
      </w:r>
      <w:r>
        <w:t xml:space="preserve">. The HITchip contains a duplicated set of 3,631 probes, which target the 16S rRNA gene sequences of more than 1,000 intestinal bacterial phylotypes</w:t>
      </w:r>
      <w:r>
        <w:t xml:space="preserve"> </w:t>
      </w:r>
      <w:r>
        <w:t xml:space="preserve">(</w:t>
      </w:r>
      <w:r>
        <w:rPr>
          <w:b/>
        </w:rPr>
        <w:t xml:space="preserve">???</w:t>
      </w:r>
      <w:r>
        <w:t xml:space="preserve">)</w:t>
      </w:r>
      <w:r>
        <w:t xml:space="preserve">. After extraction of DNA, the full-length 16S rRNA gene was amplified, which was followed by in vitro transcription and labelling of the resulting RNA with Cy3/Cy5 before hybridization to the array. Each sample was hybridized at least twice to ensure reproducibility. Duplicate hybridizations with a Pearson correlation &lt;.98 were not considered for further analysis. By pre-processing the probe-level measurements with minimum–maximum normalization and Robust Probabilistic Averaging probe summarization</w:t>
      </w:r>
      <w:r>
        <w:t xml:space="preserve"> </w:t>
      </w:r>
      <w:r>
        <w:t xml:space="preserve">(</w:t>
      </w:r>
      <w:r>
        <w:rPr>
          <w:b/>
        </w:rPr>
        <w:t xml:space="preserve">???</w:t>
      </w:r>
      <w:r>
        <w:t xml:space="preserve">,</w:t>
      </w:r>
      <w:r>
        <w:t xml:space="preserve"> </w:t>
      </w:r>
      <w:r>
        <w:rPr>
          <w:b/>
        </w:rPr>
        <w:t xml:space="preserve">???</w:t>
      </w:r>
      <w:r>
        <w:t xml:space="preserve">)</w:t>
      </w:r>
      <w:r>
        <w:t xml:space="preserve"> </w:t>
      </w:r>
      <w:r>
        <w:t xml:space="preserve">the microbiota profiles were generated into three phylogenetic levels: Order-like 16S rRNA gene sequence groups (level 1); genus-like 16S rRNA gene sequence groups with a sequence similarity &gt;90% (level 2); and phylotype-like 16S rRNA gene sequence groups with a sequence similarity &gt;98% (level 3). For our study, we focus on the genus-level variation referred to as species and relatives (</w:t>
      </w:r>
      <w:r>
        <w:t xml:space="preserve">‘</w:t>
      </w:r>
      <w:r>
        <w:t xml:space="preserve">et rel.</w:t>
      </w:r>
      <w:r>
        <w:t xml:space="preserve">’</w:t>
      </w:r>
      <w:r>
        <w:t xml:space="preserve">) and use log10-transformed signals as a proxy for bacterial abundance.</w:t>
      </w:r>
    </w:p>
    <w:p>
      <w:pPr>
        <w:pStyle w:val="berschrift3"/>
      </w:pPr>
      <w:bookmarkStart w:id="29" w:name="additional-variables"/>
      <w:bookmarkEnd w:id="29"/>
      <w:r>
        <w:t xml:space="preserve">2.2.3 Additional variables</w:t>
      </w:r>
    </w:p>
    <w:p>
      <w:pPr>
        <w:pStyle w:val="FirstParagraph"/>
      </w:pPr>
      <w:r>
        <w:t xml:space="preserve">Maternal age as well as infant birthweight, age in weeks at the entrance to CC and sex were obtained as potential confounding variables. Table 1 shows descriptive statistics for the variables we accounted for.</w:t>
      </w:r>
    </w:p>
    <w:p>
      <w:pPr>
        <w:pStyle w:val="berschrift2"/>
      </w:pPr>
      <w:bookmarkStart w:id="30" w:name="statistical-analysis"/>
      <w:bookmarkEnd w:id="30"/>
      <w:r>
        <w:t xml:space="preserve">2.3 Statistical analysis</w:t>
      </w:r>
    </w:p>
    <w:p>
      <w:pPr>
        <w:pStyle w:val="FirstParagraph"/>
      </w:pPr>
      <w:r>
        <w:t xml:space="preserve">All analyses were performed in R version 3.5</w:t>
      </w:r>
      <w:r>
        <w:t xml:space="preserve"> </w:t>
      </w:r>
      <w:r>
        <w:t xml:space="preserve">(R Core Team, 2018)</w:t>
      </w:r>
      <w:r>
        <w:t xml:space="preserve">.</w:t>
      </w:r>
    </w:p>
    <w:p>
      <w:pPr>
        <w:pStyle w:val="berschrift3"/>
      </w:pPr>
      <w:bookmarkStart w:id="31" w:name="data-preparation-and-visualization"/>
      <w:bookmarkEnd w:id="31"/>
      <w:r>
        <w:t xml:space="preserve">2.3.1 Data preparation and visualization</w:t>
      </w:r>
    </w:p>
    <w:p>
      <w:pPr>
        <w:pStyle w:val="FirstParagraph"/>
      </w:pPr>
      <w:r>
        <w:t xml:space="preserve">The continuous covariates</w:t>
      </w:r>
      <w:r>
        <w:t xml:space="preserve"> </w:t>
      </w:r>
      <w:r>
        <w:t xml:space="preserve">“</w:t>
      </w:r>
      <w:r>
        <w:t xml:space="preserve">age</w:t>
      </w:r>
      <w:r>
        <w:t xml:space="preserve">”</w:t>
      </w:r>
      <w:r>
        <w:t xml:space="preserve"> </w:t>
      </w:r>
      <w:r>
        <w:t xml:space="preserve">and</w:t>
      </w:r>
      <w:r>
        <w:t xml:space="preserve"> </w:t>
      </w:r>
      <w:r>
        <w:t xml:space="preserve">“</w:t>
      </w:r>
      <w:r>
        <w:t xml:space="preserve">breastfeeding</w:t>
      </w:r>
      <w:r>
        <w:t xml:space="preserve">”</w:t>
      </w:r>
      <w:r>
        <w:t xml:space="preserve"> </w:t>
      </w:r>
      <w:r>
        <w:t xml:space="preserve">were standardized to ease interpretability and convergence of hierarchical linear models. There were missing values for 5 infants for the variables</w:t>
      </w:r>
      <w:r>
        <w:t xml:space="preserve"> </w:t>
      </w:r>
      <w:r>
        <w:t xml:space="preserve">“</w:t>
      </w:r>
      <w:r>
        <w:t xml:space="preserve">breastfeeding</w:t>
      </w:r>
      <w:r>
        <w:t xml:space="preserve">”</w:t>
      </w:r>
      <w:r>
        <w:t xml:space="preserve"> </w:t>
      </w:r>
      <w:r>
        <w:t xml:space="preserve">and</w:t>
      </w:r>
      <w:r>
        <w:t xml:space="preserve"> </w:t>
      </w:r>
      <w:r>
        <w:t xml:space="preserve">“</w:t>
      </w:r>
      <w:r>
        <w:t xml:space="preserve">sibling</w:t>
      </w:r>
      <w:r>
        <w:t xml:space="preserve">”</w:t>
      </w:r>
      <w:r>
        <w:t xml:space="preserve"> </w:t>
      </w:r>
      <w:r>
        <w:t xml:space="preserve">each. The missing values were imputed using predictive mean matching as implemented in the package</w:t>
      </w:r>
      <w:r>
        <w:t xml:space="preserve"> </w:t>
      </w:r>
      <w:r>
        <w:rPr>
          <w:i/>
        </w:rPr>
        <w:t xml:space="preserve">mice</w:t>
      </w:r>
      <w:r>
        <w:t xml:space="preserve"> </w:t>
      </w:r>
      <w:r>
        <w:t xml:space="preserve">(Buuren, 2019)</w:t>
      </w:r>
      <w:r>
        <w:t xml:space="preserve">, which resulted in 10 imputed data sets. Probes were counted in each sample to measure richness, by using an 80% quantile threshold for detection. We calculated alpha diversity (Shannon) and applied centered-log-ratio (clr) transformation</w:t>
      </w:r>
      <w:r>
        <w:t xml:space="preserve"> </w:t>
      </w:r>
      <w:r>
        <w:t xml:space="preserve">(Aitchison, 1986)</w:t>
      </w:r>
      <w:r>
        <w:t xml:space="preserve"> </w:t>
      </w:r>
      <w:r>
        <w:t xml:space="preserve">to HITchip signals using the</w:t>
      </w:r>
      <w:r>
        <w:t xml:space="preserve"> </w:t>
      </w:r>
      <w:r>
        <w:rPr>
          <w:i/>
        </w:rPr>
        <w:t xml:space="preserve">microbiome</w:t>
      </w:r>
      <w:r>
        <w:t xml:space="preserve"> </w:t>
      </w:r>
      <w:r>
        <w:t xml:space="preserve">package</w:t>
      </w:r>
      <w:r>
        <w:t xml:space="preserve"> </w:t>
      </w:r>
      <w:r>
        <w:t xml:space="preserve">(Lahti, Shetty, Blake, &amp; Salojarvi, 2012–2017)</w:t>
      </w:r>
      <w:r>
        <w:t xml:space="preserve">. Euclidian distance of clr-transformed data results in Aitchiison distance</w:t>
      </w:r>
      <w:r>
        <w:t xml:space="preserve"> </w:t>
      </w:r>
      <w:r>
        <w:t xml:space="preserve">(Aitchison, 1986)</w:t>
      </w:r>
      <w:r>
        <w:t xml:space="preserve">. Therefore, in order to visualize the effect of CC on overall composition over time, we could apply principal component analyses to clr-transformed HITchip signals. The resulting biplots are shown in figure 1.</w:t>
      </w:r>
    </w:p>
    <w:p>
      <w:pPr>
        <w:pStyle w:val="berschrift3"/>
      </w:pPr>
      <w:bookmarkStart w:id="32" w:name="statistical-models"/>
      <w:bookmarkEnd w:id="32"/>
      <w:r>
        <w:t xml:space="preserve">2.3.2 Statistical models</w:t>
      </w:r>
    </w:p>
    <w:p>
      <w:pPr>
        <w:pStyle w:val="FirstParagraph"/>
      </w:pPr>
      <w:r>
        <w:t xml:space="preserve">To determine whether and how much entrance to CC affects microbiota overall community composition, we performed a two way permutational multivariate analysis of variance (PERMANOVA) based on Aitchison distance. The PERMANOVA was performed using the function</w:t>
      </w:r>
      <w:r>
        <w:t xml:space="preserve"> </w:t>
      </w:r>
      <w:r>
        <w:rPr>
          <w:i/>
        </w:rPr>
        <w:t xml:space="preserve">adonis</w:t>
      </w:r>
      <w:r>
        <w:t xml:space="preserve"> </w:t>
      </w:r>
      <w:r>
        <w:t xml:space="preserve">from the package</w:t>
      </w:r>
      <w:r>
        <w:t xml:space="preserve"> </w:t>
      </w:r>
      <w:r>
        <w:rPr>
          <w:i/>
        </w:rPr>
        <w:t xml:space="preserve">vegan</w:t>
      </w:r>
      <w:r>
        <w:t xml:space="preserve"> </w:t>
      </w:r>
      <w:r>
        <w:t xml:space="preserve">(Oksanen et al., 2018)</w:t>
      </w:r>
      <w:r>
        <w:t xml:space="preserve"> </w:t>
      </w:r>
      <w:r>
        <w:t xml:space="preserve">with CC (CC versus HOME) interacting with time (pre versus post) as predictors controlling for breastfeeding and age. We performed differential abundance testing using Bayesian hierarchical generalized linear models with the generalized normal distribution as implemented in the</w:t>
      </w:r>
      <w:r>
        <w:t xml:space="preserve"> </w:t>
      </w:r>
      <w:r>
        <w:rPr>
          <w:i/>
        </w:rPr>
        <w:t xml:space="preserve">BRMS</w:t>
      </w:r>
      <w:r>
        <w:t xml:space="preserve"> </w:t>
      </w:r>
      <w:r>
        <w:t xml:space="preserve">package</w:t>
      </w:r>
      <w:r>
        <w:t xml:space="preserve"> </w:t>
      </w:r>
      <w:r>
        <w:t xml:space="preserve">(Bürkner, 2018)</w:t>
      </w:r>
      <w:r>
        <w:t xml:space="preserve">. Compared to the Gaussian distribution, the generalized Gaussian distribution has an additional parameter</w:t>
      </w:r>
      <w:r>
        <w:t xml:space="preserve"> </w:t>
      </w:r>
      <m:oMath>
        <m:r>
          <m:t>α</m:t>
        </m:r>
      </m:oMath>
      <w:r>
        <w:t xml:space="preserve">, which allows to model skewed distributions. Therefore, it can better deal with the distributional properties of clr-transformed bacterial abundances. Shrinkage was applied to the intercept and the slopes of the covariates and the predictor</w:t>
      </w:r>
      <w:r>
        <w:t xml:space="preserve"> </w:t>
      </w:r>
      <w:r>
        <w:t xml:space="preserve">“</w:t>
      </w:r>
      <w:r>
        <w:t xml:space="preserve">Time</w:t>
      </w:r>
      <w:r>
        <w:t xml:space="preserve">”</w:t>
      </w:r>
      <w:r>
        <w:t xml:space="preserve">. Regularizing priors were chosen that make the model skeptical of an effect of childcare over time. For each genus, the same model specification was used. If a model did not converge, a stronger regularizing prior was required for the standard deviation of the varying intercept (see supplementary material for exact model specification). We used the Gaussian distribution to regress alpha-diversity on the same set of predictors. We could pass the multiple imputed objects created by</w:t>
      </w:r>
      <w:r>
        <w:t xml:space="preserve"> </w:t>
      </w:r>
      <w:r>
        <w:rPr>
          <w:i/>
        </w:rPr>
        <w:t xml:space="preserve">mice</w:t>
      </w:r>
      <w:r>
        <w:t xml:space="preserve"> </w:t>
      </w:r>
      <w:r>
        <w:t xml:space="preserve">directly to the fitting function in the package</w:t>
      </w:r>
      <w:r>
        <w:t xml:space="preserve"> </w:t>
      </w:r>
      <w:r>
        <w:rPr>
          <w:i/>
        </w:rPr>
        <w:t xml:space="preserve">brms</w:t>
      </w:r>
      <w:r>
        <w:t xml:space="preserve">. Finally, we used the Random Forests (RF) algorithm implemented in the package</w:t>
      </w:r>
      <w:r>
        <w:t xml:space="preserve"> </w:t>
      </w:r>
      <w:r>
        <w:rPr>
          <w:i/>
        </w:rPr>
        <w:t xml:space="preserve">ranger</w:t>
      </w:r>
      <w:r>
        <w:t xml:space="preserve"> </w:t>
      </w:r>
      <w:r>
        <w:t xml:space="preserve">(Wright &amp; Ziegler, 2017)</w:t>
      </w:r>
      <w:r>
        <w:t xml:space="preserve"> </w:t>
      </w:r>
      <w:r>
        <w:t xml:space="preserve">to evaluate whether we can predict childcare entrance based on 130 genus abundances for both time points. RF is a tree based ensemble learning method that is well suited for classification based on microbial abundances of samples</w:t>
      </w:r>
      <w:r>
        <w:t xml:space="preserve"> </w:t>
      </w:r>
      <w:r>
        <w:t xml:space="preserve">(Knights, Costello, &amp; Knight, 2011)</w:t>
      </w:r>
      <w:r>
        <w:t xml:space="preserve">. We randomly selected 80% of the collected samples that constituted the training data set. We first tuned the RF models based on out-of-bag error. Node splitting was based on the gini criterion. Then we evaluated whether we can correctly classify CC based on 130 genus abundances using the hold out set.</w:t>
      </w:r>
    </w:p>
    <w:p>
      <w:pPr>
        <w:pStyle w:val="berschrift1"/>
      </w:pPr>
      <w:bookmarkStart w:id="33" w:name="results"/>
      <w:bookmarkEnd w:id="33"/>
      <w:r>
        <w:t xml:space="preserve">3. Results</w:t>
      </w:r>
    </w:p>
    <w:p>
      <w:pPr>
        <w:pStyle w:val="berschrift1"/>
      </w:pPr>
      <w:bookmarkStart w:id="34" w:name="results-1"/>
      <w:bookmarkEnd w:id="34"/>
      <w:r>
        <w:t xml:space="preserve">3. Results</w:t>
      </w:r>
    </w:p>
    <w:p>
      <w:pPr>
        <w:pStyle w:val="berschrift2"/>
      </w:pPr>
      <w:bookmarkStart w:id="35" w:name="microbiota-composition"/>
      <w:bookmarkEnd w:id="35"/>
      <w:r>
        <w:t xml:space="preserve">3.1. Microbiota composition</w:t>
      </w:r>
    </w:p>
    <w:p>
      <w:pPr>
        <w:pStyle w:val="FirstParagraph"/>
      </w:pPr>
      <w:r>
        <w:t xml:space="preserve">Thirteen genus like groups from the</w:t>
      </w:r>
      <w:r>
        <w:t xml:space="preserve"> </w:t>
      </w:r>
      <w:r>
        <w:rPr>
          <w:i/>
        </w:rPr>
        <w:t xml:space="preserve">Actinobacteria</w:t>
      </w:r>
      <w:r>
        <w:t xml:space="preserve">,</w:t>
      </w:r>
      <w:r>
        <w:t xml:space="preserve"> </w:t>
      </w:r>
      <w:r>
        <w:rPr>
          <w:i/>
        </w:rPr>
        <w:t xml:space="preserve">Firmicutes</w:t>
      </w:r>
      <w:r>
        <w:t xml:space="preserve">,</w:t>
      </w:r>
      <w:r>
        <w:t xml:space="preserve"> </w:t>
      </w:r>
      <w:r>
        <w:rPr>
          <w:i/>
        </w:rPr>
        <w:t xml:space="preserve">Proteobacteria</w:t>
      </w:r>
      <w:r>
        <w:t xml:space="preserve"> </w:t>
      </w:r>
      <w:r>
        <w:t xml:space="preserve">and phyla showed an average abundance of</w:t>
      </w:r>
      <w:r>
        <w:t xml:space="preserve"> </w:t>
      </w:r>
      <m:oMath>
        <m:r>
          <m:t>≥</m:t>
        </m:r>
        <m:r>
          <m:t>0.05</m:t>
        </m:r>
      </m:oMath>
      <w:r>
        <w:t xml:space="preserve"> </w:t>
      </w:r>
      <w:r>
        <w:t xml:space="preserve">% in at least 20% of the samples (Figure 1). Overall the microbiota was dominated by</w:t>
      </w:r>
      <w:r>
        <w:t xml:space="preserve"> </w:t>
      </w:r>
      <w:r>
        <w:rPr>
          <w:i/>
        </w:rPr>
        <w:t xml:space="preserve">Bifidobacterium</w:t>
      </w:r>
      <w:r>
        <w:t xml:space="preserve"> </w:t>
      </w:r>
      <w:r>
        <w:t xml:space="preserve">with an average abundance of more than 50%. Followed by facultative anaerobic</w:t>
      </w:r>
      <w:r>
        <w:t xml:space="preserve"> </w:t>
      </w:r>
      <w:r>
        <w:rPr>
          <w:i/>
        </w:rPr>
        <w:t xml:space="preserve">Bacilli</w:t>
      </w:r>
      <w:r>
        <w:t xml:space="preserve"> </w:t>
      </w:r>
      <w:r>
        <w:t xml:space="preserve">(</w:t>
      </w:r>
      <w:r>
        <w:rPr>
          <w:i/>
        </w:rPr>
        <w:t xml:space="preserve">Streptococcus spp</w:t>
      </w:r>
      <w:r>
        <w:t xml:space="preserve">,</w:t>
      </w:r>
      <w:r>
        <w:t xml:space="preserve"> </w:t>
      </w:r>
      <w:r>
        <w:rPr>
          <w:i/>
        </w:rPr>
        <w:t xml:space="preserve">Enterococcus</w:t>
      </w:r>
      <w:r>
        <w:t xml:space="preserve">,</w:t>
      </w:r>
      <w:r>
        <w:t xml:space="preserve"> </w:t>
      </w:r>
      <w:r>
        <w:rPr>
          <w:i/>
        </w:rPr>
        <w:t xml:space="preserve">Lactobacilllus</w:t>
      </w:r>
      <w:r>
        <w:t xml:space="preserve"> </w:t>
      </w:r>
      <w:r>
        <w:t xml:space="preserve">and</w:t>
      </w:r>
      <w:r>
        <w:t xml:space="preserve"> </w:t>
      </w:r>
      <w:r>
        <w:rPr>
          <w:i/>
        </w:rPr>
        <w:t xml:space="preserve">Granulicatella</w:t>
      </w:r>
      <w:r>
        <w:t xml:space="preserve">). The general variation of relative abundance of all taxa was quite high, with</w:t>
      </w:r>
      <w:r>
        <w:t xml:space="preserve"> </w:t>
      </w:r>
      <w:r>
        <w:rPr>
          <w:i/>
        </w:rPr>
        <w:t xml:space="preserve">Bifidobacterium</w:t>
      </w:r>
      <w:r>
        <w:t xml:space="preserve"> </w:t>
      </w:r>
      <w:r>
        <w:t xml:space="preserve">for instance ranging from 0.2% to 89%.</w:t>
      </w:r>
    </w:p>
    <w:p>
      <w:pPr>
        <w:pStyle w:val="Textkrper"/>
      </w:pPr>
      <w:r>
        <w:t xml:space="preserve">Figures 2 and 3 show microbiota composition (Aitchison distance) for the first four principal components within the CC (A) and within the HOME (B) group. The starting points of the arrows indicate the microbiota composition in space at time-poin PRE, whereas the endpoint corresponds the composition at time-poin POST. There appear to be no differences in location between CC and HOME at PRE or POST. Also, we did not identify a clearly uniform direction of the shifts over time in either group. Figure 2 shows that within the CC group, a few infants score relatively high on PC2 and all but one move towards the center indicating shifts in the relative abundance of</w:t>
      </w:r>
      <w:r>
        <w:t xml:space="preserve"> </w:t>
      </w:r>
      <w:r>
        <w:rPr>
          <w:i/>
        </w:rPr>
        <w:t xml:space="preserve">Granulicatella</w:t>
      </w:r>
      <w:r>
        <w:t xml:space="preserve"> </w:t>
      </w:r>
      <w:r>
        <w:t xml:space="preserve">and</w:t>
      </w:r>
      <w:r>
        <w:t xml:space="preserve"> </w:t>
      </w:r>
      <w:r>
        <w:rPr>
          <w:i/>
        </w:rPr>
        <w:t xml:space="preserve">Enterococcus</w:t>
      </w:r>
      <w:r>
        <w:t xml:space="preserve">, which load high on PC2. Altogether, microbiota composition development between time points appears to be highly individual and unsystematic.</w:t>
      </w:r>
    </w:p>
    <w:p>
      <w:pPr>
        <w:pStyle w:val="FigureWithCaption"/>
      </w:pPr>
      <w:r>
        <w:drawing>
          <wp:inline>
            <wp:extent cx="5969000" cy="2984500"/>
            <wp:effectExtent b="0" l="0" r="0" t="0"/>
            <wp:docPr descr="Figure 1 First two principal components illustrating development of microbiota composition over time within CC (A) and HOME (B)." title="" id="1" name="Picture"/>
            <a:graphic>
              <a:graphicData uri="http://schemas.openxmlformats.org/drawingml/2006/picture">
                <pic:pic>
                  <pic:nvPicPr>
                    <pic:cNvPr descr="index_files/figure-docx/unnamed-chunk-9-1.png" id="0" name="Picture"/>
                    <pic:cNvPicPr>
                      <a:picLocks noChangeArrowheads="1" noChangeAspect="1"/>
                    </pic:cNvPicPr>
                  </pic:nvPicPr>
                  <pic:blipFill>
                    <a:blip r:embed="rId36"/>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1 First two principal components illustrating development of microbiota composition over time within CC (A) and HOME (B).</w:t>
      </w:r>
    </w:p>
    <w:p>
      <w:pPr>
        <w:pStyle w:val="FigureWithCaption"/>
      </w:pPr>
      <w:r>
        <w:drawing>
          <wp:inline>
            <wp:extent cx="5969000" cy="2984500"/>
            <wp:effectExtent b="0" l="0" r="0" t="0"/>
            <wp:docPr descr="Figure 2 First two principal components illustrating development of microbiota composition over time for infants with or without siblings. ." title="" id="1" name="Picture"/>
            <a:graphic>
              <a:graphicData uri="http://schemas.openxmlformats.org/drawingml/2006/picture">
                <pic:pic>
                  <pic:nvPicPr>
                    <pic:cNvPr descr="index_files/figure-docx/unnamed-chunk-10-1.png" id="0" name="Picture"/>
                    <pic:cNvPicPr>
                      <a:picLocks noChangeArrowheads="1" noChangeAspect="1"/>
                    </pic:cNvPicPr>
                  </pic:nvPicPr>
                  <pic:blipFill>
                    <a:blip r:embed="rId37"/>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2 First two principal components illustrating development of microbiota composition over time for infants with or without siblings. .</w:t>
      </w:r>
    </w:p>
    <w:p>
      <w:pPr>
        <w:pStyle w:val="berschrift2"/>
      </w:pPr>
      <w:bookmarkStart w:id="38" w:name="effects-of-cc-on-microbiota-composition"/>
      <w:bookmarkEnd w:id="38"/>
      <w:r>
        <w:t xml:space="preserve">3.2 Effects of CC on microbiota composition</w:t>
      </w:r>
    </w:p>
    <w:p>
      <w:pPr>
        <w:pStyle w:val="FirstParagraph"/>
      </w:pPr>
      <w:r>
        <w:t xml:space="preserve">Table 1 shows demographic variables for both groups. There was a significant difference in age between groups at PRE (</w:t>
      </w:r>
      <w:r>
        <w:rPr>
          <w:i/>
        </w:rPr>
        <w:t xml:space="preserve">t</w:t>
      </w:r>
      <w:r>
        <w:t xml:space="preserve">(62.43) = -4.54,</w:t>
      </w:r>
      <w:r>
        <w:t xml:space="preserve"> </w:t>
      </w:r>
      <w:r>
        <w:rPr>
          <w:i/>
        </w:rPr>
        <w:t xml:space="preserve">p</w:t>
      </w:r>
      <w:r>
        <w:t xml:space="preserve"> </w:t>
      </w:r>
      <w:r>
        <w:t xml:space="preserve">&lt; .001) and at POST (</w:t>
      </w:r>
      <w:r>
        <w:rPr>
          <w:i/>
        </w:rPr>
        <w:t xml:space="preserve">t</w:t>
      </w:r>
      <w:r>
        <w:t xml:space="preserve">(60.82) = -4.88,</w:t>
      </w:r>
      <w:r>
        <w:t xml:space="preserve"> </w:t>
      </w:r>
      <w:r>
        <w:rPr>
          <w:i/>
        </w:rPr>
        <w:t xml:space="preserve">p</w:t>
      </w:r>
      <w:r>
        <w:t xml:space="preserve"> </w:t>
      </w:r>
      <w:r>
        <w:t xml:space="preserve">&lt; .001) according to Welch’s t-test. Besides that, there were no differences between groups for any of the remaining variables. To account for the differences in age and the naturally varying amounts of breastfeeding, we used both variables as covariates in all linear models.</w:t>
      </w:r>
    </w:p>
    <w:p>
      <w:pPr>
        <w:pStyle w:val="Textkrper"/>
      </w:pPr>
      <w:r>
        <w:t xml:space="preserve">Cell Contents</w:t>
      </w:r>
      <w:r>
        <w:t xml:space="preserve"> </w:t>
      </w:r>
      <w:r>
        <w:t xml:space="preserve">|————————-|</w:t>
      </w:r>
      <w:r>
        <w:t xml:space="preserve"> </w:t>
      </w:r>
      <w:r>
        <w:t xml:space="preserve">| Count |</w:t>
      </w:r>
      <w:r>
        <w:t xml:space="preserve"> </w:t>
      </w:r>
      <w:r>
        <w:t xml:space="preserve">| Expected Values |</w:t>
      </w:r>
      <w:r>
        <w:t xml:space="preserve"> </w:t>
      </w:r>
      <w:r>
        <w:t xml:space="preserve">| Std Residual |</w:t>
      </w:r>
      <w:r>
        <w:t xml:space="preserve"> </w:t>
      </w:r>
      <w:r>
        <w:t xml:space="preserve">|————————-|</w:t>
      </w:r>
    </w:p>
    <w:p>
      <w:pPr>
        <w:pStyle w:val="Textkrper"/>
      </w:pPr>
      <w:r>
        <w:t xml:space="preserve">Total Observations in Table: 96</w:t>
      </w:r>
    </w:p>
    <w:p>
      <w:pPr>
        <w:pStyle w:val="SourceCode"/>
      </w:pPr>
      <w:r>
        <w:rPr>
          <w:rStyle w:val="VerbatimChar"/>
        </w:rPr>
        <w:t xml:space="preserve">           | df_complete$csection </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df_complete$CC</w:t>
            </w:r>
          </w:p>
        </w:tc>
        <w:tc>
          <w:tcPr>
            <w:tcBorders>
              <w:bottom w:val="single"/>
            </w:tcBorders>
            <w:vAlign w:val="bottom"/>
          </w:tcPr>
          <w:p>
            <w:pPr>
              <w:pStyle w:val="Compact"/>
              <w:jc w:val="left"/>
            </w:pPr>
            <w:r>
              <w:t xml:space="preserve">0</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Row Total</w:t>
            </w:r>
          </w:p>
        </w:tc>
      </w:tr>
      <w:tr>
        <w:tc>
          <w:p>
            <w:pPr>
              <w:pStyle w:val="Compact"/>
              <w:jc w:val="left"/>
            </w:pPr>
            <w:r>
              <w:t xml:space="preserve">0</w:t>
            </w:r>
          </w:p>
        </w:tc>
        <w:tc>
          <w:p>
            <w:pPr>
              <w:pStyle w:val="Compact"/>
              <w:jc w:val="left"/>
            </w:pPr>
            <w:r>
              <w:t xml:space="preserve">45</w:t>
            </w:r>
          </w:p>
        </w:tc>
        <w:tc>
          <w:p>
            <w:pPr>
              <w:pStyle w:val="Compact"/>
              <w:jc w:val="left"/>
            </w:pPr>
            <w:r>
              <w:t xml:space="preserve">3</w:t>
            </w:r>
          </w:p>
        </w:tc>
        <w:tc>
          <w:p>
            <w:pPr>
              <w:pStyle w:val="Compact"/>
              <w:jc w:val="left"/>
            </w:pPr>
            <w:r>
              <w:t xml:space="preserve">48</w:t>
            </w:r>
          </w:p>
        </w:tc>
      </w:tr>
      <w:tr>
        <w:tc>
          <w:p>
            <w:pPr>
              <w:pStyle w:val="Compact"/>
              <w:jc w:val="left"/>
            </w:pPr>
            <w:r>
              <w:t xml:space="preserve">43.500</w:t>
            </w:r>
          </w:p>
        </w:tc>
        <w:tc>
          <w:p>
            <w:pPr>
              <w:pStyle w:val="Compact"/>
              <w:jc w:val="left"/>
            </w:pPr>
            <w:r>
              <w:t xml:space="preserve">4.500</w:t>
            </w:r>
          </w:p>
        </w:tc>
        <w:tc>
          <w:p>
            <w:pPr>
              <w:pStyle w:val="Compact"/>
            </w:pPr>
          </w:p>
        </w:tc>
        <w:tc>
          <w:p>
            <w:pPr>
              <w:pStyle w:val="Compact"/>
            </w:pPr>
          </w:p>
        </w:tc>
      </w:tr>
      <w:tr>
        <w:tc>
          <w:p>
            <w:pPr>
              <w:pStyle w:val="Compact"/>
              <w:jc w:val="left"/>
            </w:pPr>
            <w:r>
              <w:t xml:space="preserve">0.227</w:t>
            </w:r>
          </w:p>
        </w:tc>
        <w:tc>
          <w:p>
            <w:pPr>
              <w:pStyle w:val="Compact"/>
              <w:jc w:val="left"/>
            </w:pPr>
            <w:r>
              <w:t xml:space="preserve">-0.707</w:t>
            </w:r>
          </w:p>
        </w:tc>
        <w:tc>
          <w:p>
            <w:pPr>
              <w:pStyle w:val="Compact"/>
            </w:pPr>
          </w:p>
        </w:tc>
        <w:tc>
          <w:p>
            <w:pPr>
              <w:pStyle w:val="Compact"/>
            </w:pP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w:t>
            </w:r>
          </w:p>
        </w:tc>
        <w:tc>
          <w:p>
            <w:pPr>
              <w:pStyle w:val="Compact"/>
              <w:jc w:val="left"/>
            </w:pPr>
            <w:r>
              <w:t xml:space="preserve">42</w:t>
            </w:r>
          </w:p>
        </w:tc>
        <w:tc>
          <w:p>
            <w:pPr>
              <w:pStyle w:val="Compact"/>
              <w:jc w:val="left"/>
            </w:pPr>
            <w:r>
              <w:t xml:space="preserve">6</w:t>
            </w:r>
          </w:p>
        </w:tc>
        <w:tc>
          <w:p>
            <w:pPr>
              <w:pStyle w:val="Compact"/>
              <w:jc w:val="left"/>
            </w:pPr>
            <w:r>
              <w:t xml:space="preserve">48</w:t>
            </w:r>
          </w:p>
        </w:tc>
      </w:tr>
      <w:tr>
        <w:tc>
          <w:p>
            <w:pPr>
              <w:pStyle w:val="Compact"/>
              <w:jc w:val="left"/>
            </w:pPr>
            <w:r>
              <w:t xml:space="preserve">43.500</w:t>
            </w:r>
          </w:p>
        </w:tc>
        <w:tc>
          <w:p>
            <w:pPr>
              <w:pStyle w:val="Compact"/>
              <w:jc w:val="left"/>
            </w:pPr>
            <w:r>
              <w:t xml:space="preserve">4.500</w:t>
            </w:r>
          </w:p>
        </w:tc>
        <w:tc>
          <w:p>
            <w:pPr>
              <w:pStyle w:val="Compact"/>
            </w:pPr>
          </w:p>
        </w:tc>
        <w:tc>
          <w:p>
            <w:pPr>
              <w:pStyle w:val="Compact"/>
            </w:pPr>
          </w:p>
        </w:tc>
      </w:tr>
      <w:tr>
        <w:tc>
          <w:p>
            <w:pPr>
              <w:pStyle w:val="Compact"/>
              <w:jc w:val="left"/>
            </w:pPr>
            <w:r>
              <w:t xml:space="preserve">-0.227</w:t>
            </w:r>
          </w:p>
        </w:tc>
        <w:tc>
          <w:p>
            <w:pPr>
              <w:pStyle w:val="Compact"/>
              <w:jc w:val="left"/>
            </w:pPr>
            <w:r>
              <w:t xml:space="preserve">0.707</w:t>
            </w:r>
          </w:p>
        </w:tc>
        <w:tc>
          <w:p>
            <w:pPr>
              <w:pStyle w:val="Compact"/>
            </w:pPr>
          </w:p>
        </w:tc>
        <w:tc>
          <w:p>
            <w:pPr>
              <w:pStyle w:val="Compact"/>
            </w:pP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Column Total</w:t>
            </w:r>
          </w:p>
        </w:tc>
        <w:tc>
          <w:p>
            <w:pPr>
              <w:pStyle w:val="Compact"/>
              <w:jc w:val="left"/>
            </w:pPr>
            <w:r>
              <w:t xml:space="preserve">87</w:t>
            </w:r>
          </w:p>
        </w:tc>
        <w:tc>
          <w:p>
            <w:pPr>
              <w:pStyle w:val="Compact"/>
              <w:jc w:val="left"/>
            </w:pPr>
            <w:r>
              <w:t xml:space="preserve">9</w:t>
            </w:r>
          </w:p>
        </w:tc>
        <w:tc>
          <w:p>
            <w:pPr>
              <w:pStyle w:val="Compact"/>
              <w:jc w:val="left"/>
            </w:pPr>
            <w:r>
              <w:t xml:space="preserve">96</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Textkrper"/>
      </w:pPr>
      <w:r>
        <w:t xml:space="preserve">Statistics for All Table Factors</w:t>
      </w:r>
    </w:p>
    <w:p>
      <w:pPr>
        <w:pStyle w:val="berschrift2"/>
      </w:pPr>
      <w:bookmarkStart w:id="39" w:name="pearsons-chi-squared-test"/>
      <w:bookmarkEnd w:id="39"/>
      <w:r>
        <w:t xml:space="preserve">Pearson’s Chi-squared test</w:t>
      </w:r>
    </w:p>
    <w:p>
      <w:pPr>
        <w:pStyle w:val="FirstParagraph"/>
      </w:pPr>
      <w:r>
        <w:t xml:space="preserve">Chi^2 = 1.103448 d.f. = 1 p = 0.2935106</w:t>
      </w:r>
    </w:p>
    <w:p>
      <w:pPr>
        <w:pStyle w:val="berschrift2"/>
      </w:pPr>
      <w:bookmarkStart w:id="40" w:name="pearsons-chi-squared-test-with-yates-continuity-correction"/>
      <w:bookmarkEnd w:id="40"/>
      <w:r>
        <w:t xml:space="preserve">Pearson’s Chi-squared test with Yates’ continuity correction</w:t>
      </w:r>
    </w:p>
    <w:p>
      <w:pPr>
        <w:pStyle w:val="FirstParagraph"/>
      </w:pPr>
      <w:r>
        <w:t xml:space="preserve">Chi^2 = 0.4904215 d.f. = 1 p = 0.4837394</w:t>
      </w:r>
    </w:p>
    <w:p>
      <w:pPr>
        <w:pStyle w:val="berschrift2"/>
      </w:pPr>
      <w:bookmarkStart w:id="41" w:name="fishers-exact-test-for-count-data"/>
      <w:bookmarkEnd w:id="41"/>
      <w:r>
        <w:t xml:space="preserve">Fisher’s Exact Test for Count Data</w:t>
      </w:r>
    </w:p>
    <w:p>
      <w:pPr>
        <w:pStyle w:val="FirstParagraph"/>
      </w:pPr>
      <w:r>
        <w:t xml:space="preserve">Sample estimate odds ratio: 2.126341</w:t>
      </w:r>
    </w:p>
    <w:p>
      <w:pPr>
        <w:pStyle w:val="Textkrper"/>
      </w:pPr>
      <w:r>
        <w:t xml:space="preserve">Alternative hypothesis: true odds ratio is not equal to 1</w:t>
      </w:r>
      <w:r>
        <w:t xml:space="preserve"> </w:t>
      </w:r>
      <w:r>
        <w:t xml:space="preserve">p = 0.4860486</w:t>
      </w:r>
      <w:r>
        <w:t xml:space="preserve"> </w:t>
      </w:r>
      <w:r>
        <w:t xml:space="preserve">95% confidence interval: 0.4217293 13.97658</w:t>
      </w:r>
    </w:p>
    <w:p>
      <w:pPr>
        <w:pStyle w:val="Textkrper"/>
      </w:pPr>
      <w:r>
        <w:t xml:space="preserve">Alternative hypothesis: true odds ratio is less than 1</w:t>
      </w:r>
      <w:r>
        <w:t xml:space="preserve"> </w:t>
      </w:r>
      <w:r>
        <w:t xml:space="preserve">p = 0.9206787</w:t>
      </w:r>
      <w:r>
        <w:t xml:space="preserve"> </w:t>
      </w:r>
      <w:r>
        <w:t xml:space="preserve">95% confidence interval: 0 10.39182</w:t>
      </w:r>
    </w:p>
    <w:p>
      <w:pPr>
        <w:pStyle w:val="Textkrper"/>
      </w:pPr>
      <w:r>
        <w:t xml:space="preserve">Alternative hypothesis: true odds ratio is greater than 1</w:t>
      </w:r>
      <w:r>
        <w:t xml:space="preserve"> </w:t>
      </w:r>
      <w:r>
        <w:t xml:space="preserve">p = 0.2430243</w:t>
      </w:r>
      <w:r>
        <w:t xml:space="preserve"> </w:t>
      </w:r>
      <w:r>
        <w:t xml:space="preserve">95% confidence interval: 0.5242304 Inf</w:t>
      </w:r>
    </w:p>
    <w:p>
      <w:pPr>
        <w:pStyle w:val="SourceCode"/>
      </w:pPr>
      <w:r>
        <w:rPr>
          <w:rStyle w:val="VerbatimChar"/>
        </w:rPr>
        <w:t xml:space="preserve">   Minimum expected frequency: 4.5 </w:t>
      </w:r>
    </w:p>
    <w:p>
      <w:pPr>
        <w:pStyle w:val="FirstParagraph"/>
      </w:pPr>
      <w:r>
        <w:t xml:space="preserve">Cells with Expected Frequency &lt; 5: 2 of 4 (50%)</w:t>
      </w:r>
    </w:p>
    <w:p>
      <w:pPr>
        <w:pStyle w:val="Compact"/>
      </w:pPr>
      <w:r>
        <w:t xml:space="preserve">Table 1</w:t>
      </w:r>
    </w:p>
    <w:p>
      <w:pPr>
        <w:pStyle w:val="Compact"/>
      </w:pPr>
      <w:r>
        <w:rPr>
          <w:i/>
        </w:rPr>
        <w:t xml:space="preserve">Descriptive statistics for demographic variables of infants and mothers included in the present study.</w:t>
      </w:r>
    </w:p>
    <w:tbl>
      <w:tblPr>
        <w:tblStyle w:val="TableNormal"/>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CC (n = 49)</w:t>
            </w:r>
          </w:p>
        </w:tc>
        <w:tc>
          <w:tcPr>
            <w:tcBorders>
              <w:bottom w:val="single"/>
            </w:tcBorders>
            <w:vAlign w:val="bottom"/>
          </w:tcPr>
          <w:p>
            <w:pPr>
              <w:pStyle w:val="Compact"/>
              <w:jc w:val="left"/>
            </w:pPr>
            <w:r>
              <w:t xml:space="preserve">HOME (n = 49)</w:t>
            </w:r>
          </w:p>
        </w:tc>
      </w:tr>
      <w:tr>
        <w:tc>
          <w:p>
            <w:pPr>
              <w:pStyle w:val="Compact"/>
              <w:jc w:val="left"/>
            </w:pPr>
            <w:r>
              <w:rPr>
                <w:b/>
              </w:rPr>
              <w:t xml:space="preserve">Gender</w:t>
            </w:r>
          </w:p>
        </w:tc>
        <w:tc>
          <w:p>
            <w:pPr>
              <w:pStyle w:val="Compact"/>
            </w:pPr>
          </w:p>
        </w:tc>
        <w:tc>
          <w:p>
            <w:pPr>
              <w:pStyle w:val="Compact"/>
            </w:pPr>
          </w:p>
        </w:tc>
      </w:tr>
      <w:tr>
        <w:tc>
          <w:p>
            <w:pPr>
              <w:pStyle w:val="Compact"/>
              <w:jc w:val="left"/>
            </w:pPr>
            <w:r>
              <w:t xml:space="preserve">   male</w:t>
            </w:r>
          </w:p>
        </w:tc>
        <w:tc>
          <w:p>
            <w:pPr>
              <w:pStyle w:val="Compact"/>
              <w:jc w:val="left"/>
            </w:pPr>
            <w:r>
              <w:t xml:space="preserve">29</w:t>
            </w:r>
          </w:p>
        </w:tc>
        <w:tc>
          <w:p>
            <w:pPr>
              <w:pStyle w:val="Compact"/>
              <w:jc w:val="left"/>
            </w:pPr>
            <w:r>
              <w:t xml:space="preserve">25</w:t>
            </w:r>
          </w:p>
        </w:tc>
      </w:tr>
      <w:tr>
        <w:tc>
          <w:p>
            <w:pPr>
              <w:pStyle w:val="Compact"/>
              <w:jc w:val="left"/>
            </w:pPr>
            <w:r>
              <w:t xml:space="preserve">   female</w:t>
            </w:r>
          </w:p>
        </w:tc>
        <w:tc>
          <w:p>
            <w:pPr>
              <w:pStyle w:val="Compact"/>
              <w:jc w:val="left"/>
            </w:pPr>
            <w:r>
              <w:t xml:space="preserve">20</w:t>
            </w:r>
          </w:p>
        </w:tc>
        <w:tc>
          <w:p>
            <w:pPr>
              <w:pStyle w:val="Compact"/>
              <w:jc w:val="left"/>
            </w:pPr>
            <w:r>
              <w:t xml:space="preserve">24</w:t>
            </w:r>
          </w:p>
        </w:tc>
      </w:tr>
      <w:tr>
        <w:tc>
          <w:p>
            <w:pPr>
              <w:pStyle w:val="Compact"/>
              <w:jc w:val="left"/>
            </w:pPr>
            <w:r>
              <w:rPr>
                <w:b/>
              </w:rPr>
              <w:t xml:space="preserve">Age PRE</w:t>
            </w:r>
          </w:p>
        </w:tc>
        <w:tc>
          <w:p>
            <w:pPr>
              <w:pStyle w:val="Compact"/>
            </w:pPr>
          </w:p>
        </w:tc>
        <w:tc>
          <w:p>
            <w:pPr>
              <w:pStyle w:val="Compact"/>
            </w:pPr>
          </w:p>
        </w:tc>
      </w:tr>
      <w:tr>
        <w:tc>
          <w:p>
            <w:pPr>
              <w:pStyle w:val="Compact"/>
              <w:jc w:val="left"/>
            </w:pPr>
            <w:r>
              <w:t xml:space="preserve">   mean (sd)</w:t>
            </w:r>
          </w:p>
        </w:tc>
        <w:tc>
          <w:p>
            <w:pPr>
              <w:pStyle w:val="Compact"/>
              <w:jc w:val="left"/>
            </w:pPr>
            <w:r>
              <w:t xml:space="preserve">87.8</w:t>
            </w:r>
            <w:r>
              <w:t xml:space="preserve"> </w:t>
            </w:r>
            <m:oMath>
              <m:r>
                <m:t>±</m:t>
              </m:r>
            </m:oMath>
            <w:r>
              <w:t xml:space="preserve"> </w:t>
            </w:r>
            <w:r>
              <w:t xml:space="preserve">16.0</w:t>
            </w:r>
          </w:p>
        </w:tc>
        <w:tc>
          <w:p>
            <w:pPr>
              <w:pStyle w:val="Compact"/>
              <w:jc w:val="left"/>
            </w:pPr>
            <w:r>
              <w:t xml:space="preserve">76.7</w:t>
            </w:r>
            <w:r>
              <w:t xml:space="preserve"> </w:t>
            </w:r>
            <m:oMath>
              <m:r>
                <m:t>±</m:t>
              </m:r>
            </m:oMath>
            <w:r>
              <w:t xml:space="preserve"> </w:t>
            </w:r>
            <w:r>
              <w:t xml:space="preserve">6.3</w:t>
            </w:r>
          </w:p>
        </w:tc>
      </w:tr>
      <w:tr>
        <w:tc>
          <w:p>
            <w:pPr>
              <w:pStyle w:val="Compact"/>
              <w:jc w:val="left"/>
            </w:pPr>
            <w:r>
              <w:t xml:space="preserve">   min</w:t>
            </w:r>
          </w:p>
        </w:tc>
        <w:tc>
          <w:p>
            <w:pPr>
              <w:pStyle w:val="Compact"/>
              <w:jc w:val="left"/>
            </w:pPr>
            <w:r>
              <w:t xml:space="preserve">58</w:t>
            </w:r>
          </w:p>
        </w:tc>
        <w:tc>
          <w:p>
            <w:pPr>
              <w:pStyle w:val="Compact"/>
              <w:jc w:val="left"/>
            </w:pPr>
            <w:r>
              <w:t xml:space="preserve">68</w:t>
            </w:r>
          </w:p>
        </w:tc>
      </w:tr>
      <w:tr>
        <w:tc>
          <w:p>
            <w:pPr>
              <w:pStyle w:val="Compact"/>
              <w:jc w:val="left"/>
            </w:pPr>
            <w:r>
              <w:t xml:space="preserve">   max</w:t>
            </w:r>
          </w:p>
        </w:tc>
        <w:tc>
          <w:p>
            <w:pPr>
              <w:pStyle w:val="Compact"/>
              <w:jc w:val="left"/>
            </w:pPr>
            <w:r>
              <w:t xml:space="preserve">123</w:t>
            </w:r>
          </w:p>
        </w:tc>
        <w:tc>
          <w:p>
            <w:pPr>
              <w:pStyle w:val="Compact"/>
              <w:jc w:val="left"/>
            </w:pPr>
            <w:r>
              <w:t xml:space="preserve">90</w:t>
            </w:r>
          </w:p>
        </w:tc>
      </w:tr>
      <w:tr>
        <w:tc>
          <w:p>
            <w:pPr>
              <w:pStyle w:val="Compact"/>
              <w:jc w:val="left"/>
            </w:pPr>
            <w:r>
              <w:rPr>
                <w:b/>
              </w:rPr>
              <w:t xml:space="preserve">Age POST</w:t>
            </w:r>
          </w:p>
        </w:tc>
        <w:tc>
          <w:p>
            <w:pPr>
              <w:pStyle w:val="Compact"/>
            </w:pPr>
          </w:p>
        </w:tc>
        <w:tc>
          <w:p>
            <w:pPr>
              <w:pStyle w:val="Compact"/>
            </w:pPr>
          </w:p>
        </w:tc>
      </w:tr>
      <w:tr>
        <w:tc>
          <w:p>
            <w:pPr>
              <w:pStyle w:val="Compact"/>
              <w:jc w:val="left"/>
            </w:pPr>
            <w:r>
              <w:t xml:space="preserve">   mean (sd)</w:t>
            </w:r>
          </w:p>
        </w:tc>
        <w:tc>
          <w:p>
            <w:pPr>
              <w:pStyle w:val="Compact"/>
              <w:jc w:val="left"/>
            </w:pPr>
            <w:r>
              <w:t xml:space="preserve">118.4</w:t>
            </w:r>
            <w:r>
              <w:t xml:space="preserve"> </w:t>
            </w:r>
            <m:oMath>
              <m:r>
                <m:t>±</m:t>
              </m:r>
            </m:oMath>
            <w:r>
              <w:t xml:space="preserve"> </w:t>
            </w:r>
            <w:r>
              <w:t xml:space="preserve">16.1</w:t>
            </w:r>
          </w:p>
        </w:tc>
        <w:tc>
          <w:p>
            <w:pPr>
              <w:pStyle w:val="Compact"/>
              <w:jc w:val="left"/>
            </w:pPr>
            <w:r>
              <w:t xml:space="preserve">106.5</w:t>
            </w:r>
            <w:r>
              <w:t xml:space="preserve"> </w:t>
            </w:r>
            <m:oMath>
              <m:r>
                <m:t>±</m:t>
              </m:r>
            </m:oMath>
            <w:r>
              <w:t xml:space="preserve"> </w:t>
            </w:r>
            <w:r>
              <w:t xml:space="preserve">5.9</w:t>
            </w:r>
          </w:p>
        </w:tc>
      </w:tr>
      <w:tr>
        <w:tc>
          <w:p>
            <w:pPr>
              <w:pStyle w:val="Compact"/>
              <w:jc w:val="left"/>
            </w:pPr>
            <w:r>
              <w:t xml:space="preserve">   min</w:t>
            </w:r>
          </w:p>
        </w:tc>
        <w:tc>
          <w:p>
            <w:pPr>
              <w:pStyle w:val="Compact"/>
              <w:jc w:val="left"/>
            </w:pPr>
            <w:r>
              <w:t xml:space="preserve">90</w:t>
            </w:r>
          </w:p>
        </w:tc>
        <w:tc>
          <w:p>
            <w:pPr>
              <w:pStyle w:val="Compact"/>
              <w:jc w:val="left"/>
            </w:pPr>
            <w:r>
              <w:t xml:space="preserve">97</w:t>
            </w:r>
          </w:p>
        </w:tc>
      </w:tr>
      <w:tr>
        <w:tc>
          <w:p>
            <w:pPr>
              <w:pStyle w:val="Compact"/>
              <w:jc w:val="left"/>
            </w:pPr>
            <w:r>
              <w:t xml:space="preserve">   max</w:t>
            </w:r>
          </w:p>
        </w:tc>
        <w:tc>
          <w:p>
            <w:pPr>
              <w:pStyle w:val="Compact"/>
              <w:jc w:val="left"/>
            </w:pPr>
            <w:r>
              <w:t xml:space="preserve">154</w:t>
            </w:r>
          </w:p>
        </w:tc>
        <w:tc>
          <w:p>
            <w:pPr>
              <w:pStyle w:val="Compact"/>
              <w:jc w:val="left"/>
            </w:pPr>
            <w:r>
              <w:t xml:space="preserve">116</w:t>
            </w:r>
          </w:p>
        </w:tc>
      </w:tr>
      <w:tr>
        <w:tc>
          <w:p>
            <w:pPr>
              <w:pStyle w:val="Compact"/>
              <w:jc w:val="left"/>
            </w:pPr>
            <w:r>
              <w:rPr>
                <w:b/>
              </w:rPr>
              <w:t xml:space="preserve">Maternal Education</w:t>
            </w:r>
          </w:p>
        </w:tc>
        <w:tc>
          <w:p>
            <w:pPr>
              <w:pStyle w:val="Compact"/>
            </w:pPr>
          </w:p>
        </w:tc>
        <w:tc>
          <w:p>
            <w:pPr>
              <w:pStyle w:val="Compact"/>
            </w:pPr>
          </w:p>
        </w:tc>
      </w:tr>
      <w:tr>
        <w:tc>
          <w:p>
            <w:pPr>
              <w:pStyle w:val="Compact"/>
              <w:jc w:val="left"/>
            </w:pPr>
            <w:r>
              <w:t xml:space="preserve">   mean (sd)</w:t>
            </w:r>
          </w:p>
        </w:tc>
        <w:tc>
          <w:p>
            <w:pPr>
              <w:pStyle w:val="Compact"/>
              <w:jc w:val="left"/>
            </w:pPr>
            <w:r>
              <w:t xml:space="preserve">32.9</w:t>
            </w:r>
            <w:r>
              <w:t xml:space="preserve"> </w:t>
            </w:r>
            <m:oMath>
              <m:r>
                <m:t>±</m:t>
              </m:r>
            </m:oMath>
            <w:r>
              <w:t xml:space="preserve"> </w:t>
            </w:r>
            <w:r>
              <w:t xml:space="preserve">3.0</w:t>
            </w:r>
          </w:p>
        </w:tc>
        <w:tc>
          <w:p>
            <w:pPr>
              <w:pStyle w:val="Compact"/>
              <w:jc w:val="left"/>
            </w:pPr>
            <w:r>
              <w:t xml:space="preserve">32.2</w:t>
            </w:r>
            <w:r>
              <w:t xml:space="preserve"> </w:t>
            </w:r>
            <m:oMath>
              <m:r>
                <m:t>±</m:t>
              </m:r>
            </m:oMath>
            <w:r>
              <w:t xml:space="preserve"> </w:t>
            </w:r>
            <w:r>
              <w:t xml:space="preserve">3.6</w:t>
            </w:r>
          </w:p>
        </w:tc>
      </w:tr>
      <w:tr>
        <w:tc>
          <w:p>
            <w:pPr>
              <w:pStyle w:val="Compact"/>
              <w:jc w:val="left"/>
            </w:pPr>
            <w:r>
              <w:t xml:space="preserve">   min</w:t>
            </w:r>
          </w:p>
        </w:tc>
        <w:tc>
          <w:p>
            <w:pPr>
              <w:pStyle w:val="Compact"/>
              <w:jc w:val="left"/>
            </w:pPr>
            <w:r>
              <w:t xml:space="preserve">25.1</w:t>
            </w:r>
          </w:p>
        </w:tc>
        <w:tc>
          <w:p>
            <w:pPr>
              <w:pStyle w:val="Compact"/>
              <w:jc w:val="left"/>
            </w:pPr>
            <w:r>
              <w:t xml:space="preserve">24.9</w:t>
            </w:r>
          </w:p>
        </w:tc>
      </w:tr>
      <w:tr>
        <w:tc>
          <w:p>
            <w:pPr>
              <w:pStyle w:val="Compact"/>
              <w:jc w:val="left"/>
            </w:pPr>
            <w:r>
              <w:t xml:space="preserve">   max</w:t>
            </w:r>
          </w:p>
        </w:tc>
        <w:tc>
          <w:p>
            <w:pPr>
              <w:pStyle w:val="Compact"/>
              <w:jc w:val="left"/>
            </w:pPr>
            <w:r>
              <w:t xml:space="preserve">42.0</w:t>
            </w:r>
          </w:p>
        </w:tc>
        <w:tc>
          <w:p>
            <w:pPr>
              <w:pStyle w:val="Compact"/>
              <w:jc w:val="left"/>
            </w:pPr>
            <w:r>
              <w:t xml:space="preserve">40.1</w:t>
            </w:r>
          </w:p>
        </w:tc>
      </w:tr>
      <w:tr>
        <w:tc>
          <w:p>
            <w:pPr>
              <w:pStyle w:val="Compact"/>
              <w:jc w:val="left"/>
            </w:pPr>
            <w:r>
              <w:rPr>
                <w:b/>
              </w:rPr>
              <w:t xml:space="preserve">Birthweight</w:t>
            </w:r>
          </w:p>
        </w:tc>
        <w:tc>
          <w:p>
            <w:pPr>
              <w:pStyle w:val="Compact"/>
            </w:pPr>
          </w:p>
        </w:tc>
        <w:tc>
          <w:p>
            <w:pPr>
              <w:pStyle w:val="Compact"/>
            </w:pPr>
          </w:p>
        </w:tc>
      </w:tr>
      <w:tr>
        <w:tc>
          <w:p>
            <w:pPr>
              <w:pStyle w:val="Compact"/>
              <w:jc w:val="left"/>
            </w:pPr>
            <w:r>
              <w:t xml:space="preserve">   mean (sd)</w:t>
            </w:r>
          </w:p>
        </w:tc>
        <w:tc>
          <w:p>
            <w:pPr>
              <w:pStyle w:val="Compact"/>
              <w:jc w:val="left"/>
            </w:pPr>
            <w:r>
              <w:t xml:space="preserve">3630.4</w:t>
            </w:r>
            <w:r>
              <w:t xml:space="preserve"> </w:t>
            </w:r>
            <m:oMath>
              <m:r>
                <m:t>±</m:t>
              </m:r>
            </m:oMath>
            <w:r>
              <w:t xml:space="preserve"> </w:t>
            </w:r>
            <w:r>
              <w:t xml:space="preserve">508.9</w:t>
            </w:r>
          </w:p>
        </w:tc>
        <w:tc>
          <w:p>
            <w:pPr>
              <w:pStyle w:val="Compact"/>
              <w:jc w:val="left"/>
            </w:pPr>
            <w:r>
              <w:t xml:space="preserve">3636.0</w:t>
            </w:r>
            <w:r>
              <w:t xml:space="preserve"> </w:t>
            </w:r>
            <m:oMath>
              <m:r>
                <m:t>±</m:t>
              </m:r>
            </m:oMath>
            <w:r>
              <w:t xml:space="preserve"> </w:t>
            </w:r>
            <w:r>
              <w:t xml:space="preserve">438.4</w:t>
            </w:r>
          </w:p>
        </w:tc>
      </w:tr>
      <w:tr>
        <w:tc>
          <w:p>
            <w:pPr>
              <w:pStyle w:val="Compact"/>
              <w:jc w:val="left"/>
            </w:pPr>
            <w:r>
              <w:t xml:space="preserve">   min</w:t>
            </w:r>
          </w:p>
        </w:tc>
        <w:tc>
          <w:p>
            <w:pPr>
              <w:pStyle w:val="Compact"/>
              <w:jc w:val="left"/>
            </w:pPr>
            <w:r>
              <w:t xml:space="preserve">2708</w:t>
            </w:r>
          </w:p>
        </w:tc>
        <w:tc>
          <w:p>
            <w:pPr>
              <w:pStyle w:val="Compact"/>
              <w:jc w:val="left"/>
            </w:pPr>
            <w:r>
              <w:t xml:space="preserve">2810</w:t>
            </w:r>
          </w:p>
        </w:tc>
      </w:tr>
      <w:tr>
        <w:tc>
          <w:p>
            <w:pPr>
              <w:pStyle w:val="Compact"/>
              <w:jc w:val="left"/>
            </w:pPr>
            <w:r>
              <w:t xml:space="preserve">   max</w:t>
            </w:r>
          </w:p>
        </w:tc>
        <w:tc>
          <w:p>
            <w:pPr>
              <w:pStyle w:val="Compact"/>
              <w:jc w:val="left"/>
            </w:pPr>
            <w:r>
              <w:t xml:space="preserve">4600</w:t>
            </w:r>
          </w:p>
        </w:tc>
        <w:tc>
          <w:p>
            <w:pPr>
              <w:pStyle w:val="Compact"/>
              <w:jc w:val="left"/>
            </w:pPr>
            <w:r>
              <w:t xml:space="preserve">4700</w:t>
            </w:r>
          </w:p>
        </w:tc>
      </w:tr>
      <w:tr>
        <w:tc>
          <w:p>
            <w:pPr>
              <w:pStyle w:val="Compact"/>
              <w:jc w:val="left"/>
            </w:pPr>
            <w:r>
              <w:rPr>
                <w:b/>
              </w:rPr>
              <w:t xml:space="preserve">Breastfeeding (Birth - PRE)</w:t>
            </w:r>
          </w:p>
        </w:tc>
        <w:tc>
          <w:p>
            <w:pPr>
              <w:pStyle w:val="Compact"/>
            </w:pPr>
          </w:p>
        </w:tc>
        <w:tc>
          <w:p>
            <w:pPr>
              <w:pStyle w:val="Compact"/>
            </w:pPr>
          </w:p>
        </w:tc>
      </w:tr>
      <w:tr>
        <w:tc>
          <w:p>
            <w:pPr>
              <w:pStyle w:val="Compact"/>
              <w:jc w:val="left"/>
            </w:pPr>
            <w:r>
              <w:t xml:space="preserve">   mean (sd)</w:t>
            </w:r>
          </w:p>
        </w:tc>
        <w:tc>
          <w:p>
            <w:pPr>
              <w:pStyle w:val="Compact"/>
              <w:jc w:val="left"/>
            </w:pPr>
            <w:r>
              <w:t xml:space="preserve">5.4</w:t>
            </w:r>
            <w:r>
              <w:t xml:space="preserve"> </w:t>
            </w:r>
            <m:oMath>
              <m:r>
                <m:t>±</m:t>
              </m:r>
            </m:oMath>
            <w:r>
              <w:t xml:space="preserve"> </w:t>
            </w:r>
            <w:r>
              <w:t xml:space="preserve">2.9</w:t>
            </w:r>
          </w:p>
        </w:tc>
        <w:tc>
          <w:p>
            <w:pPr>
              <w:pStyle w:val="Compact"/>
              <w:jc w:val="left"/>
            </w:pPr>
            <w:r>
              <w:t xml:space="preserve">5.7</w:t>
            </w:r>
            <w:r>
              <w:t xml:space="preserve"> </w:t>
            </w:r>
            <m:oMath>
              <m:r>
                <m:t>±</m:t>
              </m:r>
            </m:oMath>
            <w:r>
              <w:t xml:space="preserve"> </w:t>
            </w:r>
            <w:r>
              <w:t xml:space="preserve">2.3</w:t>
            </w:r>
          </w:p>
        </w:tc>
      </w:tr>
      <w:tr>
        <w:tc>
          <w:p>
            <w:pPr>
              <w:pStyle w:val="Compact"/>
              <w:jc w:val="left"/>
            </w:pPr>
            <w:r>
              <w:t xml:space="preserve">   min</w:t>
            </w:r>
          </w:p>
        </w:tc>
        <w:tc>
          <w:p>
            <w:pPr>
              <w:pStyle w:val="Compact"/>
              <w:jc w:val="left"/>
            </w:pPr>
            <w:r>
              <w:t xml:space="preserve">0</w:t>
            </w:r>
          </w:p>
        </w:tc>
        <w:tc>
          <w:p>
            <w:pPr>
              <w:pStyle w:val="Compact"/>
              <w:jc w:val="left"/>
            </w:pPr>
            <w:r>
              <w:t xml:space="preserve">0</w:t>
            </w:r>
          </w:p>
        </w:tc>
      </w:tr>
      <w:tr>
        <w:tc>
          <w:p>
            <w:pPr>
              <w:pStyle w:val="Compact"/>
              <w:jc w:val="left"/>
            </w:pPr>
            <w:r>
              <w:t xml:space="preserve">   max</w:t>
            </w:r>
          </w:p>
        </w:tc>
        <w:tc>
          <w:p>
            <w:pPr>
              <w:pStyle w:val="Compact"/>
              <w:jc w:val="left"/>
            </w:pPr>
            <w:r>
              <w:t xml:space="preserve">11.4</w:t>
            </w:r>
          </w:p>
        </w:tc>
        <w:tc>
          <w:p>
            <w:pPr>
              <w:pStyle w:val="Compact"/>
              <w:jc w:val="left"/>
            </w:pPr>
            <w:r>
              <w:t xml:space="preserve">8.9</w:t>
            </w:r>
          </w:p>
        </w:tc>
      </w:tr>
      <w:tr>
        <w:tc>
          <w:p>
            <w:pPr>
              <w:pStyle w:val="Compact"/>
              <w:jc w:val="left"/>
            </w:pPr>
            <w:r>
              <w:rPr>
                <w:b/>
              </w:rPr>
              <w:t xml:space="preserve">Breastfeeding (PRE - POST)</w:t>
            </w:r>
          </w:p>
        </w:tc>
        <w:tc>
          <w:p>
            <w:pPr>
              <w:pStyle w:val="Compact"/>
            </w:pPr>
          </w:p>
        </w:tc>
        <w:tc>
          <w:p>
            <w:pPr>
              <w:pStyle w:val="Compact"/>
            </w:pPr>
          </w:p>
        </w:tc>
      </w:tr>
      <w:tr>
        <w:tc>
          <w:p>
            <w:pPr>
              <w:pStyle w:val="Compact"/>
              <w:jc w:val="left"/>
            </w:pPr>
            <w:r>
              <w:t xml:space="preserve">   mean (sd)</w:t>
            </w:r>
          </w:p>
        </w:tc>
        <w:tc>
          <w:p>
            <w:pPr>
              <w:pStyle w:val="Compact"/>
              <w:jc w:val="left"/>
            </w:pPr>
            <w:r>
              <w:t xml:space="preserve">4.0</w:t>
            </w:r>
            <w:r>
              <w:t xml:space="preserve"> </w:t>
            </w:r>
            <m:oMath>
              <m:r>
                <m:t>±</m:t>
              </m:r>
            </m:oMath>
            <w:r>
              <w:t xml:space="preserve"> </w:t>
            </w:r>
            <w:r>
              <w:t xml:space="preserve">2.9</w:t>
            </w:r>
          </w:p>
        </w:tc>
        <w:tc>
          <w:p>
            <w:pPr>
              <w:pStyle w:val="Compact"/>
              <w:jc w:val="left"/>
            </w:pPr>
            <w:r>
              <w:t xml:space="preserve">3.8</w:t>
            </w:r>
            <w:r>
              <w:t xml:space="preserve"> </w:t>
            </w:r>
            <m:oMath>
              <m:r>
                <m:t>±</m:t>
              </m:r>
            </m:oMath>
            <w:r>
              <w:t xml:space="preserve"> </w:t>
            </w:r>
            <w:r>
              <w:t xml:space="preserve">2.8</w:t>
            </w:r>
          </w:p>
        </w:tc>
      </w:tr>
      <w:tr>
        <w:tc>
          <w:p>
            <w:pPr>
              <w:pStyle w:val="Compact"/>
              <w:jc w:val="left"/>
            </w:pPr>
            <w:r>
              <w:t xml:space="preserve">   min</w:t>
            </w:r>
          </w:p>
        </w:tc>
        <w:tc>
          <w:p>
            <w:pPr>
              <w:pStyle w:val="Compact"/>
              <w:jc w:val="left"/>
            </w:pPr>
            <w:r>
              <w:t xml:space="preserve">0</w:t>
            </w:r>
          </w:p>
        </w:tc>
        <w:tc>
          <w:p>
            <w:pPr>
              <w:pStyle w:val="Compact"/>
              <w:jc w:val="left"/>
            </w:pPr>
            <w:r>
              <w:t xml:space="preserve">0</w:t>
            </w:r>
          </w:p>
        </w:tc>
      </w:tr>
      <w:tr>
        <w:tc>
          <w:p>
            <w:pPr>
              <w:pStyle w:val="Compact"/>
              <w:jc w:val="left"/>
            </w:pPr>
            <w:r>
              <w:t xml:space="preserve">   max</w:t>
            </w:r>
          </w:p>
        </w:tc>
        <w:tc>
          <w:p>
            <w:pPr>
              <w:pStyle w:val="Compact"/>
              <w:jc w:val="left"/>
            </w:pPr>
            <w:r>
              <w:t xml:space="preserve">8.5</w:t>
            </w:r>
          </w:p>
        </w:tc>
        <w:tc>
          <w:p>
            <w:pPr>
              <w:pStyle w:val="Compact"/>
              <w:jc w:val="left"/>
            </w:pPr>
            <w:r>
              <w:t xml:space="preserve">8.2</w:t>
            </w:r>
          </w:p>
        </w:tc>
      </w:tr>
      <w:tr>
        <w:tc>
          <w:p>
            <w:pPr>
              <w:pStyle w:val="Compact"/>
              <w:jc w:val="left"/>
            </w:pPr>
            <w:r>
              <w:rPr>
                <w:b/>
              </w:rPr>
              <w:t xml:space="preserve">Sibling</w:t>
            </w:r>
          </w:p>
        </w:tc>
        <w:tc>
          <w:p>
            <w:pPr>
              <w:pStyle w:val="Compact"/>
            </w:pPr>
          </w:p>
        </w:tc>
        <w:tc>
          <w:p>
            <w:pPr>
              <w:pStyle w:val="Compact"/>
            </w:pPr>
          </w:p>
        </w:tc>
      </w:tr>
      <w:tr>
        <w:tc>
          <w:p>
            <w:pPr>
              <w:pStyle w:val="Compact"/>
              <w:jc w:val="left"/>
            </w:pPr>
            <w:r>
              <w:t xml:space="preserve">   yes</w:t>
            </w:r>
          </w:p>
        </w:tc>
        <w:tc>
          <w:p>
            <w:pPr>
              <w:pStyle w:val="Compact"/>
              <w:jc w:val="left"/>
            </w:pPr>
            <w:r>
              <w:t xml:space="preserve">25</w:t>
            </w:r>
          </w:p>
        </w:tc>
        <w:tc>
          <w:p>
            <w:pPr>
              <w:pStyle w:val="Compact"/>
              <w:jc w:val="left"/>
            </w:pPr>
            <w:r>
              <w:t xml:space="preserve">32</w:t>
            </w:r>
          </w:p>
        </w:tc>
      </w:tr>
      <w:tr>
        <w:tc>
          <w:p>
            <w:pPr>
              <w:pStyle w:val="Compact"/>
              <w:jc w:val="left"/>
            </w:pPr>
            <w:r>
              <w:t xml:space="preserve">   no</w:t>
            </w:r>
          </w:p>
        </w:tc>
        <w:tc>
          <w:p>
            <w:pPr>
              <w:pStyle w:val="Compact"/>
              <w:jc w:val="left"/>
            </w:pPr>
            <w:r>
              <w:t xml:space="preserve">23</w:t>
            </w:r>
          </w:p>
        </w:tc>
        <w:tc>
          <w:p>
            <w:pPr>
              <w:pStyle w:val="Compact"/>
              <w:jc w:val="left"/>
            </w:pPr>
            <w:r>
              <w:t xml:space="preserve">17</w:t>
            </w:r>
          </w:p>
        </w:tc>
      </w:tr>
      <w:tr>
        <w:tc>
          <w:p>
            <w:pPr>
              <w:pStyle w:val="Compact"/>
              <w:jc w:val="left"/>
            </w:pPr>
            <w:r>
              <w:rPr>
                <w:b/>
              </w:rPr>
              <w:t xml:space="preserve">C-section</w:t>
            </w:r>
          </w:p>
        </w:tc>
        <w:tc>
          <w:p>
            <w:pPr>
              <w:pStyle w:val="Compact"/>
            </w:pPr>
          </w:p>
        </w:tc>
        <w:tc>
          <w:p>
            <w:pPr>
              <w:pStyle w:val="Compact"/>
            </w:pPr>
          </w:p>
        </w:tc>
      </w:tr>
      <w:tr>
        <w:tc>
          <w:p>
            <w:pPr>
              <w:pStyle w:val="Compact"/>
              <w:jc w:val="left"/>
            </w:pPr>
            <w:r>
              <w:t xml:space="preserve">   yes</w:t>
            </w:r>
          </w:p>
        </w:tc>
        <w:tc>
          <w:p>
            <w:pPr>
              <w:pStyle w:val="Compact"/>
              <w:jc w:val="left"/>
            </w:pPr>
            <w:r>
              <w:t xml:space="preserve">6</w:t>
            </w:r>
          </w:p>
        </w:tc>
        <w:tc>
          <w:p>
            <w:pPr>
              <w:pStyle w:val="Compact"/>
              <w:jc w:val="left"/>
            </w:pPr>
            <w:r>
              <w:t xml:space="preserve">3</w:t>
            </w:r>
          </w:p>
        </w:tc>
      </w:tr>
      <w:tr>
        <w:tc>
          <w:p>
            <w:pPr>
              <w:pStyle w:val="Compact"/>
              <w:jc w:val="left"/>
            </w:pPr>
            <w:r>
              <w:t xml:space="preserve">   no</w:t>
            </w:r>
          </w:p>
        </w:tc>
        <w:tc>
          <w:p>
            <w:pPr>
              <w:pStyle w:val="Compact"/>
              <w:jc w:val="left"/>
            </w:pPr>
            <w:r>
              <w:t xml:space="preserve">42</w:t>
            </w:r>
          </w:p>
        </w:tc>
        <w:tc>
          <w:p>
            <w:pPr>
              <w:pStyle w:val="Compact"/>
              <w:jc w:val="left"/>
            </w:pPr>
            <w:r>
              <w:t xml:space="preserve">45</w:t>
            </w:r>
          </w:p>
        </w:tc>
      </w:tr>
    </w:tbl>
    <w:p>
      <w:pPr>
        <w:pStyle w:val="Compact"/>
      </w:pPr>
      <w:r>
        <w:rPr>
          <w:i/>
        </w:rPr>
        <w:t xml:space="preserve">Note.</w:t>
      </w:r>
      <w:r>
        <w:t xml:space="preserve"> </w:t>
      </w:r>
      <w:r>
        <w:t xml:space="preserve">CC = childcare. Breastfeeding refers to the average number of breast-feedings per day. Age refers to the age in days.</w:t>
      </w:r>
    </w:p>
    <w:p>
      <w:pPr>
        <w:pStyle w:val="berschrift3"/>
      </w:pPr>
      <w:bookmarkStart w:id="42" w:name="permutational-multivariate-anova"/>
      <w:bookmarkEnd w:id="42"/>
      <w:r>
        <w:t xml:space="preserve">3.2.1 Permutational multivariate ANOVA</w:t>
      </w:r>
    </w:p>
    <w:p>
      <w:pPr>
        <w:pStyle w:val="FirstParagraph"/>
      </w:pPr>
      <w:r>
        <w:t xml:space="preserve">We compared the overall community composition using PERMANOVA based on Aitchison distance metric. An assumption for PERMANOVA is multivariate homogeneity of group dispersions (variances)</w:t>
      </w:r>
      <w:r>
        <w:t xml:space="preserve"> </w:t>
      </w:r>
      <w:r>
        <w:t xml:space="preserve">(Anderson, 2017)</w:t>
      </w:r>
      <w:r>
        <w:t xml:space="preserve">. We used the function</w:t>
      </w:r>
      <w:r>
        <w:t xml:space="preserve"> </w:t>
      </w:r>
      <w:r>
        <w:rPr>
          <w:i/>
        </w:rPr>
        <w:t xml:space="preserve">betadisper</w:t>
      </w:r>
      <w:r>
        <w:t xml:space="preserve"> </w:t>
      </w:r>
      <w:r>
        <w:t xml:space="preserve">(Oksanen et al., 2018)</w:t>
      </w:r>
      <w:r>
        <w:t xml:space="preserve">, which utilizes the</w:t>
      </w:r>
      <w:r>
        <w:t xml:space="preserve"> </w:t>
      </w:r>
      <w:r>
        <w:rPr>
          <w:i/>
        </w:rPr>
        <w:t xml:space="preserve">PERMDISP2</w:t>
      </w:r>
      <w:r>
        <w:t xml:space="preserve"> </w:t>
      </w:r>
      <w:r>
        <w:t xml:space="preserve">procedure as implemented by Marti Anderson and found that this assumption was met for the factors</w:t>
      </w:r>
      <w:r>
        <w:t xml:space="preserve"> </w:t>
      </w:r>
      <w:r>
        <w:t xml:space="preserve">“</w:t>
      </w:r>
      <w:r>
        <w:t xml:space="preserve">CC</w:t>
      </w:r>
      <w:r>
        <w:t xml:space="preserve">”</w:t>
      </w:r>
      <w:r>
        <w:t xml:space="preserve"> </w:t>
      </w:r>
      <w:r>
        <w:rPr>
          <w:i/>
        </w:rPr>
        <w:t xml:space="preserve">F</w:t>
      </w:r>
      <w:r>
        <w:t xml:space="preserve">(1,194) = 1.74,</w:t>
      </w:r>
      <w:r>
        <w:t xml:space="preserve"> </w:t>
      </w:r>
      <w:r>
        <w:rPr>
          <w:i/>
        </w:rPr>
        <w:t xml:space="preserve">p</w:t>
      </w:r>
      <w:r>
        <w:t xml:space="preserve"> </w:t>
      </w:r>
      <w:r>
        <w:t xml:space="preserve">= .188,</w:t>
      </w:r>
      <w:r>
        <w:t xml:space="preserve"> </w:t>
      </w:r>
      <w:r>
        <w:t xml:space="preserve">“</w:t>
      </w:r>
      <w:r>
        <w:t xml:space="preserve">Time</w:t>
      </w:r>
      <w:r>
        <w:t xml:space="preserve">”</w:t>
      </w:r>
      <w:r>
        <w:t xml:space="preserve"> </w:t>
      </w:r>
      <w:r>
        <w:rPr>
          <w:i/>
        </w:rPr>
        <w:t xml:space="preserve">F</w:t>
      </w:r>
      <w:r>
        <w:t xml:space="preserve">(1,194) = 1.73,</w:t>
      </w:r>
      <w:r>
        <w:t xml:space="preserve"> </w:t>
      </w:r>
      <w:r>
        <w:rPr>
          <w:i/>
        </w:rPr>
        <w:t xml:space="preserve">p</w:t>
      </w:r>
      <w:r>
        <w:t xml:space="preserve"> </w:t>
      </w:r>
      <w:r>
        <w:t xml:space="preserve">= .190,</w:t>
      </w:r>
      <w:r>
        <w:t xml:space="preserve"> </w:t>
      </w:r>
      <w:r>
        <w:t xml:space="preserve">“</w:t>
      </w:r>
      <w:r>
        <w:t xml:space="preserve">Csection</w:t>
      </w:r>
      <w:r>
        <w:t xml:space="preserve">”</w:t>
      </w:r>
      <w:r>
        <w:t xml:space="preserve"> </w:t>
      </w:r>
      <w:r>
        <w:rPr>
          <w:i/>
        </w:rPr>
        <w:t xml:space="preserve">F</w:t>
      </w:r>
      <w:r>
        <w:t xml:space="preserve">(1,194) = 0.47,</w:t>
      </w:r>
      <w:r>
        <w:t xml:space="preserve"> </w:t>
      </w:r>
      <w:r>
        <w:rPr>
          <w:i/>
        </w:rPr>
        <w:t xml:space="preserve">p</w:t>
      </w:r>
      <w:r>
        <w:t xml:space="preserve"> </w:t>
      </w:r>
      <w:r>
        <w:t xml:space="preserve">= .494 and the subgroups that result out of the interaction of</w:t>
      </w:r>
      <w:r>
        <w:t xml:space="preserve"> </w:t>
      </w:r>
      <w:r>
        <w:t xml:space="preserve">“</w:t>
      </w:r>
      <w:r>
        <w:t xml:space="preserve">Time</w:t>
      </w:r>
      <w:r>
        <w:t xml:space="preserve">”</w:t>
      </w:r>
      <w:r>
        <w:t xml:space="preserve"> </w:t>
      </w:r>
      <w:r>
        <w:t xml:space="preserve">and</w:t>
      </w:r>
      <w:r>
        <w:t xml:space="preserve"> </w:t>
      </w:r>
      <w:r>
        <w:t xml:space="preserve">“</w:t>
      </w:r>
      <w:r>
        <w:t xml:space="preserve">CC</w:t>
      </w:r>
      <w:r>
        <w:t xml:space="preserve">”</w:t>
      </w:r>
      <w:r>
        <w:t xml:space="preserve"> </w:t>
      </w:r>
      <w:r>
        <w:rPr>
          <w:i/>
        </w:rPr>
        <w:t xml:space="preserve">F</w:t>
      </w:r>
      <w:r>
        <w:t xml:space="preserve">(3,192) = 1.19,</w:t>
      </w:r>
      <w:r>
        <w:t xml:space="preserve"> </w:t>
      </w:r>
      <w:r>
        <w:rPr>
          <w:i/>
        </w:rPr>
        <w:t xml:space="preserve">p</w:t>
      </w:r>
      <w:r>
        <w:t xml:space="preserve"> </w:t>
      </w:r>
      <w:r>
        <w:t xml:space="preserve">= .313. However, the dispersions between the groups of</w:t>
      </w:r>
      <w:r>
        <w:t xml:space="preserve"> </w:t>
      </w:r>
      <w:r>
        <w:t xml:space="preserve">“</w:t>
      </w:r>
      <w:r>
        <w:t xml:space="preserve">Sibling</w:t>
      </w:r>
      <w:r>
        <w:t xml:space="preserve">”</w:t>
      </w:r>
      <w:r>
        <w:t xml:space="preserve"> </w:t>
      </w:r>
      <w:r>
        <w:t xml:space="preserve">were not homogeneous</w:t>
      </w:r>
      <w:r>
        <w:t xml:space="preserve"> </w:t>
      </w:r>
      <w:r>
        <w:rPr>
          <w:i/>
        </w:rPr>
        <w:t xml:space="preserve">F</w:t>
      </w:r>
      <w:r>
        <w:t xml:space="preserve">(1,194) = 8.24,</w:t>
      </w:r>
      <w:r>
        <w:t xml:space="preserve"> </w:t>
      </w:r>
      <w:r>
        <w:rPr>
          <w:i/>
        </w:rPr>
        <w:t xml:space="preserve">p</w:t>
      </w:r>
      <w:r>
        <w:t xml:space="preserve"> </w:t>
      </w:r>
      <w:r>
        <w:t xml:space="preserve">= .004 and therefore the resulting test statistics should be interpreted with caution. We did not find a significant effect of CC over time on overall community composition (see table 2). Breastfeeding, sibling, c-section and age significantly predicted overall community composition. Figure x shows the genera that mostly changed as a function of each significant predictor. Despite the low number of infants born by cesarian section, PERMANOVA indicates that cesarean section significantly influences gut microbiota composition with the strongest effect on Bifidobacteria.</w:t>
      </w:r>
    </w:p>
    <w:p>
      <w:pPr>
        <w:pStyle w:val="Compact"/>
      </w:pPr>
      <w:r>
        <w:t xml:space="preserve">Table 2</w:t>
      </w:r>
    </w:p>
    <w:p>
      <w:pPr>
        <w:pStyle w:val="Compact"/>
      </w:pPr>
      <w:r>
        <w:rPr>
          <w:i/>
        </w:rPr>
        <w:t xml:space="preserve">Model Output PERMANOVA</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Model Parameter</w:t>
            </w:r>
          </w:p>
        </w:tc>
        <w:tc>
          <w:tcPr>
            <w:tcBorders>
              <w:bottom w:val="single"/>
            </w:tcBorders>
            <w:vAlign w:val="bottom"/>
          </w:tcPr>
          <w:p>
            <w:pPr>
              <w:pStyle w:val="Compact"/>
              <w:jc w:val="left"/>
            </w:pPr>
            <w:r>
              <w:t xml:space="preserve">Sum of Squares</w:t>
            </w:r>
          </w:p>
        </w:tc>
        <w:tc>
          <w:tcPr>
            <w:tcBorders>
              <w:bottom w:val="single"/>
            </w:tcBorders>
            <w:vAlign w:val="bottom"/>
          </w:tcPr>
          <w:p>
            <w:pPr>
              <w:pStyle w:val="Compact"/>
              <w:jc w:val="left"/>
            </w:pPr>
            <w:r>
              <w:t xml:space="preserve">Mean Sum of Squares</w:t>
            </w:r>
          </w:p>
        </w:tc>
        <w:tc>
          <w:tcPr>
            <w:tcBorders>
              <w:bottom w:val="single"/>
            </w:tcBorders>
            <w:vAlign w:val="bottom"/>
          </w:tcPr>
          <w:p>
            <w:pPr>
              <w:pStyle w:val="Compact"/>
              <w:jc w:val="left"/>
            </w:pPr>
            <w:r>
              <w:t xml:space="preserve">F</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w:r>
              <w:t xml:space="preserve">R Square</w:t>
            </w:r>
          </w:p>
        </w:tc>
      </w:tr>
      <w:tr>
        <w:tc>
          <w:p>
            <w:pPr>
              <w:pStyle w:val="Compact"/>
              <w:jc w:val="left"/>
            </w:pPr>
            <w:r>
              <w:t xml:space="preserve">Time</w:t>
            </w:r>
          </w:p>
        </w:tc>
        <w:tc>
          <w:p>
            <w:pPr>
              <w:pStyle w:val="Compact"/>
              <w:jc w:val="left"/>
            </w:pPr>
            <w:r>
              <w:t xml:space="preserve">58.44</w:t>
            </w:r>
          </w:p>
        </w:tc>
        <w:tc>
          <w:p>
            <w:pPr>
              <w:pStyle w:val="Compact"/>
              <w:jc w:val="left"/>
            </w:pPr>
            <w:r>
              <w:t xml:space="preserve">58.444</w:t>
            </w:r>
          </w:p>
        </w:tc>
        <w:tc>
          <w:p>
            <w:pPr>
              <w:pStyle w:val="Compact"/>
              <w:jc w:val="left"/>
            </w:pPr>
            <w:r>
              <w:t xml:space="preserve">1.51</w:t>
            </w:r>
          </w:p>
        </w:tc>
        <w:tc>
          <w:p>
            <w:pPr>
              <w:pStyle w:val="Compact"/>
              <w:jc w:val="left"/>
            </w:pPr>
            <w:r>
              <w:t xml:space="preserve">1.00</w:t>
            </w:r>
          </w:p>
        </w:tc>
        <w:tc>
          <w:p>
            <w:pPr>
              <w:pStyle w:val="Compact"/>
              <w:jc w:val="left"/>
            </w:pPr>
            <w:r>
              <w:t xml:space="preserve">0.116</w:t>
            </w:r>
          </w:p>
        </w:tc>
        <w:tc>
          <w:p>
            <w:pPr>
              <w:pStyle w:val="Compact"/>
              <w:jc w:val="left"/>
            </w:pPr>
            <w:r>
              <w:t xml:space="preserve">0.01</w:t>
            </w:r>
          </w:p>
        </w:tc>
      </w:tr>
      <w:tr>
        <w:tc>
          <w:p>
            <w:pPr>
              <w:pStyle w:val="Compact"/>
              <w:jc w:val="left"/>
            </w:pPr>
            <w:r>
              <w:t xml:space="preserve">CC</w:t>
            </w:r>
          </w:p>
        </w:tc>
        <w:tc>
          <w:p>
            <w:pPr>
              <w:pStyle w:val="Compact"/>
              <w:jc w:val="left"/>
            </w:pPr>
            <w:r>
              <w:t xml:space="preserve">52.64</w:t>
            </w:r>
          </w:p>
        </w:tc>
        <w:tc>
          <w:p>
            <w:pPr>
              <w:pStyle w:val="Compact"/>
              <w:jc w:val="left"/>
            </w:pPr>
            <w:r>
              <w:t xml:space="preserve">52.636</w:t>
            </w:r>
          </w:p>
        </w:tc>
        <w:tc>
          <w:p>
            <w:pPr>
              <w:pStyle w:val="Compact"/>
              <w:jc w:val="left"/>
            </w:pPr>
            <w:r>
              <w:t xml:space="preserve">1.36</w:t>
            </w:r>
          </w:p>
        </w:tc>
        <w:tc>
          <w:p>
            <w:pPr>
              <w:pStyle w:val="Compact"/>
              <w:jc w:val="left"/>
            </w:pPr>
            <w:r>
              <w:t xml:space="preserve">1.00</w:t>
            </w:r>
          </w:p>
        </w:tc>
        <w:tc>
          <w:p>
            <w:pPr>
              <w:pStyle w:val="Compact"/>
              <w:jc w:val="left"/>
            </w:pPr>
            <w:r>
              <w:t xml:space="preserve">0.174</w:t>
            </w:r>
          </w:p>
        </w:tc>
        <w:tc>
          <w:p>
            <w:pPr>
              <w:pStyle w:val="Compact"/>
              <w:jc w:val="left"/>
            </w:pPr>
            <w:r>
              <w:t xml:space="preserve">0.01</w:t>
            </w:r>
          </w:p>
        </w:tc>
      </w:tr>
      <w:tr>
        <w:tc>
          <w:p>
            <w:pPr>
              <w:pStyle w:val="Compact"/>
              <w:jc w:val="left"/>
            </w:pPr>
            <w:r>
              <w:t xml:space="preserve">Age</w:t>
            </w:r>
          </w:p>
        </w:tc>
        <w:tc>
          <w:p>
            <w:pPr>
              <w:pStyle w:val="Compact"/>
              <w:jc w:val="left"/>
            </w:pPr>
            <w:r>
              <w:t xml:space="preserve">79.55</w:t>
            </w:r>
          </w:p>
        </w:tc>
        <w:tc>
          <w:p>
            <w:pPr>
              <w:pStyle w:val="Compact"/>
              <w:jc w:val="left"/>
            </w:pPr>
            <w:r>
              <w:t xml:space="preserve">79.553</w:t>
            </w:r>
          </w:p>
        </w:tc>
        <w:tc>
          <w:p>
            <w:pPr>
              <w:pStyle w:val="Compact"/>
              <w:jc w:val="left"/>
            </w:pPr>
            <w:r>
              <w:t xml:space="preserve">2.056</w:t>
            </w:r>
          </w:p>
        </w:tc>
        <w:tc>
          <w:p>
            <w:pPr>
              <w:pStyle w:val="Compact"/>
              <w:jc w:val="left"/>
            </w:pPr>
            <w:r>
              <w:t xml:space="preserve">1.00</w:t>
            </w:r>
          </w:p>
        </w:tc>
        <w:tc>
          <w:p>
            <w:pPr>
              <w:pStyle w:val="Compact"/>
              <w:jc w:val="left"/>
            </w:pPr>
            <w:r>
              <w:t xml:space="preserve">0.024</w:t>
            </w:r>
          </w:p>
        </w:tc>
        <w:tc>
          <w:p>
            <w:pPr>
              <w:pStyle w:val="Compact"/>
              <w:jc w:val="left"/>
            </w:pPr>
            <w:r>
              <w:t xml:space="preserve">0.01</w:t>
            </w:r>
          </w:p>
        </w:tc>
      </w:tr>
      <w:tr>
        <w:tc>
          <w:p>
            <w:pPr>
              <w:pStyle w:val="Compact"/>
              <w:jc w:val="left"/>
            </w:pPr>
            <w:r>
              <w:t xml:space="preserve">Breastfeeding</w:t>
            </w:r>
          </w:p>
        </w:tc>
        <w:tc>
          <w:p>
            <w:pPr>
              <w:pStyle w:val="Compact"/>
              <w:jc w:val="left"/>
            </w:pPr>
            <w:r>
              <w:t xml:space="preserve">206.11</w:t>
            </w:r>
          </w:p>
        </w:tc>
        <w:tc>
          <w:p>
            <w:pPr>
              <w:pStyle w:val="Compact"/>
              <w:jc w:val="left"/>
            </w:pPr>
            <w:r>
              <w:t xml:space="preserve">206.114</w:t>
            </w:r>
          </w:p>
        </w:tc>
        <w:tc>
          <w:p>
            <w:pPr>
              <w:pStyle w:val="Compact"/>
              <w:jc w:val="left"/>
            </w:pPr>
            <w:r>
              <w:t xml:space="preserve">5.326</w:t>
            </w:r>
          </w:p>
        </w:tc>
        <w:tc>
          <w:p>
            <w:pPr>
              <w:pStyle w:val="Compact"/>
              <w:jc w:val="left"/>
            </w:pPr>
            <w:r>
              <w:t xml:space="preserve">1.00</w:t>
            </w:r>
          </w:p>
        </w:tc>
        <w:tc>
          <w:p>
            <w:pPr>
              <w:pStyle w:val="Compact"/>
              <w:jc w:val="left"/>
            </w:pPr>
            <w:r>
              <w:t xml:space="preserve">0.001</w:t>
            </w:r>
          </w:p>
        </w:tc>
        <w:tc>
          <w:p>
            <w:pPr>
              <w:pStyle w:val="Compact"/>
              <w:jc w:val="left"/>
            </w:pPr>
            <w:r>
              <w:t xml:space="preserve">0.03</w:t>
            </w:r>
          </w:p>
        </w:tc>
      </w:tr>
      <w:tr>
        <w:tc>
          <w:p>
            <w:pPr>
              <w:pStyle w:val="Compact"/>
              <w:jc w:val="left"/>
            </w:pPr>
            <w:r>
              <w:t xml:space="preserve">C-section</w:t>
            </w:r>
          </w:p>
        </w:tc>
        <w:tc>
          <w:p>
            <w:pPr>
              <w:pStyle w:val="Compact"/>
              <w:jc w:val="left"/>
            </w:pPr>
            <w:r>
              <w:t xml:space="preserve">125.87</w:t>
            </w:r>
          </w:p>
        </w:tc>
        <w:tc>
          <w:p>
            <w:pPr>
              <w:pStyle w:val="Compact"/>
              <w:jc w:val="left"/>
            </w:pPr>
            <w:r>
              <w:t xml:space="preserve">125.873</w:t>
            </w:r>
          </w:p>
        </w:tc>
        <w:tc>
          <w:p>
            <w:pPr>
              <w:pStyle w:val="Compact"/>
              <w:jc w:val="left"/>
            </w:pPr>
            <w:r>
              <w:t xml:space="preserve">3.253</w:t>
            </w:r>
          </w:p>
        </w:tc>
        <w:tc>
          <w:p>
            <w:pPr>
              <w:pStyle w:val="Compact"/>
              <w:jc w:val="left"/>
            </w:pPr>
            <w:r>
              <w:t xml:space="preserve">1.00</w:t>
            </w:r>
          </w:p>
        </w:tc>
        <w:tc>
          <w:p>
            <w:pPr>
              <w:pStyle w:val="Compact"/>
              <w:jc w:val="left"/>
            </w:pPr>
            <w:r>
              <w:t xml:space="preserve">0.001</w:t>
            </w:r>
          </w:p>
        </w:tc>
        <w:tc>
          <w:p>
            <w:pPr>
              <w:pStyle w:val="Compact"/>
              <w:jc w:val="left"/>
            </w:pPr>
            <w:r>
              <w:t xml:space="preserve">0.02</w:t>
            </w:r>
          </w:p>
        </w:tc>
      </w:tr>
      <w:tr>
        <w:tc>
          <w:p>
            <w:pPr>
              <w:pStyle w:val="Compact"/>
              <w:jc w:val="left"/>
            </w:pPr>
            <w:r>
              <w:t xml:space="preserve">Sibling</w:t>
            </w:r>
          </w:p>
        </w:tc>
        <w:tc>
          <w:p>
            <w:pPr>
              <w:pStyle w:val="Compact"/>
              <w:jc w:val="left"/>
            </w:pPr>
            <w:r>
              <w:t xml:space="preserve">96.07</w:t>
            </w:r>
          </w:p>
        </w:tc>
        <w:tc>
          <w:p>
            <w:pPr>
              <w:pStyle w:val="Compact"/>
              <w:jc w:val="left"/>
            </w:pPr>
            <w:r>
              <w:t xml:space="preserve">96.074</w:t>
            </w:r>
          </w:p>
        </w:tc>
        <w:tc>
          <w:p>
            <w:pPr>
              <w:pStyle w:val="Compact"/>
              <w:jc w:val="left"/>
            </w:pPr>
            <w:r>
              <w:t xml:space="preserve">2.483</w:t>
            </w:r>
          </w:p>
        </w:tc>
        <w:tc>
          <w:p>
            <w:pPr>
              <w:pStyle w:val="Compact"/>
              <w:jc w:val="left"/>
            </w:pPr>
            <w:r>
              <w:t xml:space="preserve">1.00</w:t>
            </w:r>
          </w:p>
        </w:tc>
        <w:tc>
          <w:p>
            <w:pPr>
              <w:pStyle w:val="Compact"/>
              <w:jc w:val="left"/>
            </w:pPr>
            <w:r>
              <w:t xml:space="preserve">0.006</w:t>
            </w:r>
          </w:p>
        </w:tc>
        <w:tc>
          <w:p>
            <w:pPr>
              <w:pStyle w:val="Compact"/>
              <w:jc w:val="left"/>
            </w:pPr>
            <w:r>
              <w:t xml:space="preserve">0.01</w:t>
            </w:r>
          </w:p>
        </w:tc>
      </w:tr>
      <w:tr>
        <w:tc>
          <w:p>
            <w:pPr>
              <w:pStyle w:val="Compact"/>
              <w:jc w:val="left"/>
            </w:pPr>
            <w:r>
              <w:t xml:space="preserve">Birthweight</w:t>
            </w:r>
          </w:p>
        </w:tc>
        <w:tc>
          <w:p>
            <w:pPr>
              <w:pStyle w:val="Compact"/>
              <w:jc w:val="left"/>
            </w:pPr>
            <w:r>
              <w:t xml:space="preserve">89.04</w:t>
            </w:r>
          </w:p>
        </w:tc>
        <w:tc>
          <w:p>
            <w:pPr>
              <w:pStyle w:val="Compact"/>
              <w:jc w:val="left"/>
            </w:pPr>
            <w:r>
              <w:t xml:space="preserve">89.037</w:t>
            </w:r>
          </w:p>
        </w:tc>
        <w:tc>
          <w:p>
            <w:pPr>
              <w:pStyle w:val="Compact"/>
              <w:jc w:val="left"/>
            </w:pPr>
            <w:r>
              <w:t xml:space="preserve">2.301</w:t>
            </w:r>
          </w:p>
        </w:tc>
        <w:tc>
          <w:p>
            <w:pPr>
              <w:pStyle w:val="Compact"/>
              <w:jc w:val="left"/>
            </w:pPr>
            <w:r>
              <w:t xml:space="preserve">1.00</w:t>
            </w:r>
          </w:p>
        </w:tc>
        <w:tc>
          <w:p>
            <w:pPr>
              <w:pStyle w:val="Compact"/>
              <w:jc w:val="left"/>
            </w:pPr>
            <w:r>
              <w:t xml:space="preserve">0.012</w:t>
            </w:r>
          </w:p>
        </w:tc>
        <w:tc>
          <w:p>
            <w:pPr>
              <w:pStyle w:val="Compact"/>
              <w:jc w:val="left"/>
            </w:pPr>
            <w:r>
              <w:t xml:space="preserve">0.01</w:t>
            </w:r>
          </w:p>
        </w:tc>
      </w:tr>
      <w:tr>
        <w:tc>
          <w:p>
            <w:pPr>
              <w:pStyle w:val="Compact"/>
              <w:jc w:val="left"/>
            </w:pPr>
            <w:r>
              <w:t xml:space="preserve">Time x CC</w:t>
            </w:r>
          </w:p>
        </w:tc>
        <w:tc>
          <w:p>
            <w:pPr>
              <w:pStyle w:val="Compact"/>
              <w:jc w:val="left"/>
            </w:pPr>
            <w:r>
              <w:t xml:space="preserve">38.18</w:t>
            </w:r>
          </w:p>
        </w:tc>
        <w:tc>
          <w:p>
            <w:pPr>
              <w:pStyle w:val="Compact"/>
              <w:jc w:val="left"/>
            </w:pPr>
            <w:r>
              <w:t xml:space="preserve">38.178</w:t>
            </w:r>
          </w:p>
        </w:tc>
        <w:tc>
          <w:p>
            <w:pPr>
              <w:pStyle w:val="Compact"/>
              <w:jc w:val="left"/>
            </w:pPr>
            <w:r>
              <w:t xml:space="preserve">0.987</w:t>
            </w:r>
          </w:p>
        </w:tc>
        <w:tc>
          <w:p>
            <w:pPr>
              <w:pStyle w:val="Compact"/>
              <w:jc w:val="left"/>
            </w:pPr>
            <w:r>
              <w:t xml:space="preserve">1.00</w:t>
            </w:r>
          </w:p>
        </w:tc>
        <w:tc>
          <w:p>
            <w:pPr>
              <w:pStyle w:val="Compact"/>
              <w:jc w:val="left"/>
            </w:pPr>
            <w:r>
              <w:t xml:space="preserve">0.409</w:t>
            </w:r>
          </w:p>
        </w:tc>
        <w:tc>
          <w:p>
            <w:pPr>
              <w:pStyle w:val="Compact"/>
              <w:jc w:val="left"/>
            </w:pPr>
            <w:r>
              <w:t xml:space="preserve">0.00</w:t>
            </w:r>
          </w:p>
        </w:tc>
      </w:tr>
      <w:tr>
        <w:tc>
          <w:p>
            <w:pPr>
              <w:pStyle w:val="Compact"/>
              <w:jc w:val="left"/>
            </w:pPr>
            <w:r>
              <w:t xml:space="preserve">Residuals</w:t>
            </w:r>
          </w:p>
        </w:tc>
        <w:tc>
          <w:p>
            <w:pPr>
              <w:pStyle w:val="Compact"/>
              <w:jc w:val="left"/>
            </w:pPr>
            <w:r>
              <w:t xml:space="preserve">7,236.56</w:t>
            </w:r>
          </w:p>
        </w:tc>
        <w:tc>
          <w:p>
            <w:pPr>
              <w:pStyle w:val="Compact"/>
              <w:jc w:val="left"/>
            </w:pPr>
            <w:r>
              <w:t xml:space="preserve">38.698</w:t>
            </w:r>
          </w:p>
        </w:tc>
        <w:tc>
          <w:p>
            <w:pPr>
              <w:pStyle w:val="Compact"/>
              <w:jc w:val="left"/>
            </w:pPr>
            <w:r>
              <w:t xml:space="preserve">-</w:t>
            </w:r>
          </w:p>
        </w:tc>
        <w:tc>
          <w:p>
            <w:pPr>
              <w:pStyle w:val="Compact"/>
              <w:jc w:val="left"/>
            </w:pPr>
            <w:r>
              <w:t xml:space="preserve">187.00</w:t>
            </w:r>
          </w:p>
        </w:tc>
        <w:tc>
          <w:p>
            <w:pPr>
              <w:pStyle w:val="Compact"/>
              <w:jc w:val="left"/>
            </w:pPr>
            <w:r>
              <w:t xml:space="preserve">-</w:t>
            </w:r>
          </w:p>
        </w:tc>
        <w:tc>
          <w:p>
            <w:pPr>
              <w:pStyle w:val="Compact"/>
              <w:jc w:val="left"/>
            </w:pPr>
            <w:r>
              <w:t xml:space="preserve">0.91</w:t>
            </w:r>
          </w:p>
        </w:tc>
      </w:tr>
      <w:tr>
        <w:tc>
          <w:p>
            <w:pPr>
              <w:pStyle w:val="Compact"/>
              <w:jc w:val="left"/>
            </w:pPr>
            <w:r>
              <w:t xml:space="preserve">Total</w:t>
            </w:r>
          </w:p>
        </w:tc>
        <w:tc>
          <w:p>
            <w:pPr>
              <w:pStyle w:val="Compact"/>
              <w:jc w:val="left"/>
            </w:pPr>
            <w:r>
              <w:t xml:space="preserve">7,982.47</w:t>
            </w:r>
          </w:p>
        </w:tc>
        <w:tc>
          <w:p>
            <w:pPr>
              <w:pStyle w:val="Compact"/>
              <w:jc w:val="left"/>
            </w:pPr>
            <w:r>
              <w:t xml:space="preserve">-</w:t>
            </w:r>
          </w:p>
        </w:tc>
        <w:tc>
          <w:p>
            <w:pPr>
              <w:pStyle w:val="Compact"/>
              <w:jc w:val="left"/>
            </w:pPr>
            <w:r>
              <w:t xml:space="preserve">-</w:t>
            </w:r>
          </w:p>
        </w:tc>
        <w:tc>
          <w:p>
            <w:pPr>
              <w:pStyle w:val="Compact"/>
              <w:jc w:val="left"/>
            </w:pPr>
            <w:r>
              <w:t xml:space="preserve">195.00</w:t>
            </w:r>
          </w:p>
        </w:tc>
        <w:tc>
          <w:p>
            <w:pPr>
              <w:pStyle w:val="Compact"/>
              <w:jc w:val="left"/>
            </w:pPr>
            <w:r>
              <w:t xml:space="preserve">-</w:t>
            </w:r>
          </w:p>
        </w:tc>
        <w:tc>
          <w:p>
            <w:pPr>
              <w:pStyle w:val="Compact"/>
              <w:jc w:val="left"/>
            </w:pPr>
            <w:r>
              <w:t xml:space="preserve">1.00</w:t>
            </w:r>
          </w:p>
        </w:tc>
      </w:tr>
    </w:tbl>
    <w:p>
      <w:pPr>
        <w:pStyle w:val="FigureWithCaption"/>
      </w:pPr>
      <w:r>
        <w:drawing>
          <wp:inline>
            <wp:extent cx="5969000" cy="2984500"/>
            <wp:effectExtent b="0" l="0" r="0" t="0"/>
            <wp:docPr descr="Figure 3 Top Taxa that differ most as a function of each predictor." title="" id="1" name="Picture"/>
            <a:graphic>
              <a:graphicData uri="http://schemas.openxmlformats.org/drawingml/2006/picture">
                <pic:pic>
                  <pic:nvPicPr>
                    <pic:cNvPr descr="index_files/figure-docx/unnamed-chunk-13-1.png" id="0" name="Picture"/>
                    <pic:cNvPicPr>
                      <a:picLocks noChangeArrowheads="1" noChangeAspect="1"/>
                    </pic:cNvPicPr>
                  </pic:nvPicPr>
                  <pic:blipFill>
                    <a:blip r:embed="rId43"/>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3 Top Taxa that differ most as a function of each predictor.</w:t>
      </w:r>
    </w:p>
    <w:p>
      <w:pPr>
        <w:pStyle w:val="FigureWithCaption"/>
      </w:pPr>
      <w:r>
        <w:drawing>
          <wp:inline>
            <wp:extent cx="5969000" cy="2984500"/>
            <wp:effectExtent b="0" l="0" r="0" t="0"/>
            <wp:docPr descr="Figure 4 Top Taxa that differ most as a function of each predictor." title="" id="1" name="Picture"/>
            <a:graphic>
              <a:graphicData uri="http://schemas.openxmlformats.org/drawingml/2006/picture">
                <pic:pic>
                  <pic:nvPicPr>
                    <pic:cNvPr descr="index_files/figure-docx/unnamed-chunk-14-1.png" id="0" name="Picture"/>
                    <pic:cNvPicPr>
                      <a:picLocks noChangeArrowheads="1" noChangeAspect="1"/>
                    </pic:cNvPicPr>
                  </pic:nvPicPr>
                  <pic:blipFill>
                    <a:blip r:embed="rId44"/>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4 Top Taxa that differ most as a function of each predictor.</w:t>
      </w:r>
    </w:p>
    <w:p>
      <w:pPr>
        <w:pStyle w:val="berschrift4"/>
      </w:pPr>
      <w:bookmarkStart w:id="45" w:name="differential-abundance-testing-hierarchical-glm"/>
      <w:bookmarkEnd w:id="45"/>
      <w:r>
        <w:t xml:space="preserve">3.2.2 Differential abundance testing (hierarchical GLM)</w:t>
      </w:r>
    </w:p>
    <w:p>
      <w:pPr>
        <w:pStyle w:val="FirstParagraph"/>
      </w:pPr>
      <w:r>
        <w:t xml:space="preserve">We modeled clr-transformed bacterial abundance using the generalized Gaussian distribution with constant variance</w:t>
      </w:r>
      <w:r>
        <w:t xml:space="preserve"> </w:t>
      </w:r>
      <m:oMath>
        <m:r>
          <m:t>σ</m:t>
        </m:r>
      </m:oMath>
      <w:r>
        <w:t xml:space="preserve"> </w:t>
      </w:r>
      <w:r>
        <w:t xml:space="preserve">and skewness parameter</w:t>
      </w:r>
      <w:r>
        <w:t xml:space="preserve"> </w:t>
      </w:r>
      <m:oMath>
        <m:r>
          <m:t>α</m:t>
        </m:r>
      </m:oMath>
      <w:r>
        <w:t xml:space="preserve">. The parameter</w:t>
      </w:r>
      <w:r>
        <w:t xml:space="preserve"> </w:t>
      </w:r>
      <m:oMath>
        <m:r>
          <m:t>μ</m:t>
        </m:r>
      </m:oMath>
      <w:r>
        <w:t xml:space="preserve"> </w:t>
      </w:r>
      <w:r>
        <w:t xml:space="preserve">is modeled as a linear function of the predictors</w:t>
      </w:r>
      <w:r>
        <w:t xml:space="preserve"> </w:t>
      </w:r>
      <w:r>
        <w:t xml:space="preserve">“</w:t>
      </w:r>
      <w:r>
        <w:t xml:space="preserve">CC</w:t>
      </w:r>
      <w:r>
        <w:t xml:space="preserve">”</w:t>
      </w:r>
      <w:r>
        <w:t xml:space="preserve">,</w:t>
      </w:r>
      <w:r>
        <w:t xml:space="preserve"> </w:t>
      </w:r>
      <w:r>
        <w:t xml:space="preserve">“</w:t>
      </w:r>
      <w:r>
        <w:t xml:space="preserve">Time</w:t>
      </w:r>
      <w:r>
        <w:t xml:space="preserve">”</w:t>
      </w:r>
      <w:r>
        <w:t xml:space="preserve">,</w:t>
      </w:r>
      <w:r>
        <w:t xml:space="preserve"> </w:t>
      </w:r>
      <w:r>
        <w:t xml:space="preserve">“</w:t>
      </w:r>
      <w:r>
        <w:t xml:space="preserve">breastfeeding</w:t>
      </w:r>
      <w:r>
        <w:t xml:space="preserve">”</w:t>
      </w:r>
      <w:r>
        <w:t xml:space="preserve">,</w:t>
      </w:r>
      <w:r>
        <w:t xml:space="preserve"> </w:t>
      </w:r>
      <w:r>
        <w:t xml:space="preserve">“</w:t>
      </w:r>
      <w:r>
        <w:t xml:space="preserve">sibling</w:t>
      </w:r>
      <w:r>
        <w:t xml:space="preserve">”</w:t>
      </w:r>
      <w:r>
        <w:t xml:space="preserve">,</w:t>
      </w:r>
      <w:r>
        <w:t xml:space="preserve"> </w:t>
      </w:r>
      <w:r>
        <w:t xml:space="preserve">“</w:t>
      </w:r>
      <w:r>
        <w:t xml:space="preserve">csection</w:t>
      </w:r>
      <w:r>
        <w:t xml:space="preserve">”</w:t>
      </w:r>
      <w:r>
        <w:t xml:space="preserve"> </w:t>
      </w:r>
      <w:r>
        <w:t xml:space="preserve">and</w:t>
      </w:r>
      <w:r>
        <w:t xml:space="preserve"> </w:t>
      </w:r>
      <w:r>
        <w:t xml:space="preserve">“</w:t>
      </w:r>
      <w:r>
        <w:t xml:space="preserve">age</w:t>
      </w:r>
      <w:r>
        <w:t xml:space="preserve">”</w:t>
      </w:r>
      <w:r>
        <w:t xml:space="preserve">. Figures x-x show the arithmetric means of the posterior distribution of the differences in</w:t>
      </w:r>
      <w:r>
        <w:t xml:space="preserve"> </w:t>
      </w:r>
      <m:oMath>
        <m:r>
          <m:t>μ</m:t>
        </m:r>
      </m:oMath>
      <w:r>
        <w:t xml:space="preserve"> </w:t>
      </w:r>
      <w:r>
        <w:t xml:space="preserve">between (figure x) or within (figure x) the groups with 95% highest probability density interval. We show only those genera that were different with high probability (</w:t>
      </w:r>
      <m:oMath>
        <m:r>
          <m:t>≥</m:t>
        </m:r>
        <m:r>
          <m:t>95</m:t>
        </m:r>
      </m:oMath>
      <w:r>
        <w:t xml:space="preserve"> </w:t>
      </w:r>
      <w:r>
        <w:t xml:space="preserve">%) in at least one comparison or predictor. Holding all other predictors constant, the GLM predicts a relative increase in the abundance of</w:t>
      </w:r>
      <w:r>
        <w:t xml:space="preserve"> </w:t>
      </w:r>
      <w:r>
        <w:rPr>
          <w:i/>
        </w:rPr>
        <w:t xml:space="preserve">Streptococcus mitis et rel</w:t>
      </w:r>
      <w:r>
        <w:t xml:space="preserve">,</w:t>
      </w:r>
      <w:r>
        <w:t xml:space="preserve"> </w:t>
      </w:r>
      <w:r>
        <w:rPr>
          <w:i/>
        </w:rPr>
        <w:t xml:space="preserve">Streptococcus intermedius et rel</w:t>
      </w:r>
      <w:r>
        <w:t xml:space="preserve">,</w:t>
      </w:r>
      <w:r>
        <w:t xml:space="preserve"> </w:t>
      </w:r>
      <w:r>
        <w:rPr>
          <w:i/>
        </w:rPr>
        <w:t xml:space="preserve">Granulicatella</w:t>
      </w:r>
      <w:r>
        <w:t xml:space="preserve"> </w:t>
      </w:r>
      <w:r>
        <w:t xml:space="preserve">and</w:t>
      </w:r>
      <w:r>
        <w:t xml:space="preserve"> </w:t>
      </w:r>
      <w:r>
        <w:rPr>
          <w:i/>
        </w:rPr>
        <w:t xml:space="preserve">Enterococcus</w:t>
      </w:r>
      <w:r>
        <w:t xml:space="preserve"> </w:t>
      </w:r>
      <w:r>
        <w:t xml:space="preserve">with increasing age. Breastfeeding is positively associated with</w:t>
      </w:r>
      <w:r>
        <w:t xml:space="preserve"> </w:t>
      </w:r>
      <w:r>
        <w:rPr>
          <w:i/>
        </w:rPr>
        <w:t xml:space="preserve">Streptococcus mitis et rel</w:t>
      </w:r>
      <w:r>
        <w:t xml:space="preserve"> </w:t>
      </w:r>
      <w:r>
        <w:t xml:space="preserve">and</w:t>
      </w:r>
      <w:r>
        <w:t xml:space="preserve"> </w:t>
      </w:r>
      <w:r>
        <w:rPr>
          <w:i/>
        </w:rPr>
        <w:t xml:space="preserve">Staphylococcus</w:t>
      </w:r>
      <w:r>
        <w:t xml:space="preserve"> </w:t>
      </w:r>
      <w:r>
        <w:t xml:space="preserve">and negatively associated with</w:t>
      </w:r>
      <w:r>
        <w:t xml:space="preserve"> </w:t>
      </w:r>
      <w:r>
        <w:rPr>
          <w:i/>
        </w:rPr>
        <w:t xml:space="preserve">Granulicatella</w:t>
      </w:r>
      <w:r>
        <w:t xml:space="preserve">,</w:t>
      </w:r>
      <w:r>
        <w:t xml:space="preserve"> </w:t>
      </w:r>
      <w:r>
        <w:rPr>
          <w:i/>
        </w:rPr>
        <w:t xml:space="preserve">Collinsella</w:t>
      </w:r>
      <w:r>
        <w:t xml:space="preserve"> </w:t>
      </w:r>
      <w:r>
        <w:t xml:space="preserve">and</w:t>
      </w:r>
      <w:r>
        <w:t xml:space="preserve"> </w:t>
      </w:r>
      <w:r>
        <w:rPr>
          <w:i/>
        </w:rPr>
        <w:t xml:space="preserve">Enterococcus</w:t>
      </w:r>
      <w:r>
        <w:t xml:space="preserve">. Comparing CC to HOME, we find no clear difference at time-point PRE. At time-point POST we find a relative decrease in</w:t>
      </w:r>
      <w:r>
        <w:t xml:space="preserve"> </w:t>
      </w:r>
      <w:r>
        <w:rPr>
          <w:i/>
        </w:rPr>
        <w:t xml:space="preserve">Streptococcus intermedius et rel</w:t>
      </w:r>
      <w:r>
        <w:t xml:space="preserve">. We find a stronger decrease of</w:t>
      </w:r>
      <w:r>
        <w:t xml:space="preserve"> </w:t>
      </w:r>
      <w:r>
        <w:rPr>
          <w:i/>
        </w:rPr>
        <w:t xml:space="preserve">Streptococcus mitis et rel</w:t>
      </w:r>
      <w:r>
        <w:t xml:space="preserve">,</w:t>
      </w:r>
      <w:r>
        <w:t xml:space="preserve"> </w:t>
      </w:r>
      <w:r>
        <w:rPr>
          <w:i/>
        </w:rPr>
        <w:t xml:space="preserve">Streptococcus intermedius et rel</w:t>
      </w:r>
      <w:r>
        <w:t xml:space="preserve"> </w:t>
      </w:r>
      <w:r>
        <w:t xml:space="preserve">and</w:t>
      </w:r>
      <w:r>
        <w:t xml:space="preserve"> </w:t>
      </w:r>
      <w:r>
        <w:rPr>
          <w:i/>
        </w:rPr>
        <w:t xml:space="preserve">Granulicatella</w:t>
      </w:r>
      <w:r>
        <w:t xml:space="preserve"> </w:t>
      </w:r>
      <w:r>
        <w:t xml:space="preserve">in the CC group compared to HOME. These findings are mostly in line with the previously presented analyses and biplots. Since there is a low number number of c-sections in our group (9), the posterior distribution of the group difference between cesction is expected to be wide reflecting high uncertainty. Furthermore, the skeptical prior assigns highest probability to the effect being equal to zero. Nevertheless, the model detects a clear decrease in</w:t>
      </w:r>
      <w:r>
        <w:t xml:space="preserve"> </w:t>
      </w:r>
      <w:r>
        <w:rPr>
          <w:i/>
        </w:rPr>
        <w:t xml:space="preserve">Bifidobacterium</w:t>
      </w:r>
      <w:r>
        <w:t xml:space="preserve"> </w:t>
      </w:r>
      <w:r>
        <w:t xml:space="preserve">for infants born by c-section, which is less strong for those infants with siblings.</w:t>
      </w:r>
    </w:p>
    <w:p>
      <w:pPr>
        <w:pStyle w:val="FigureWithCaption"/>
      </w:pPr>
      <w:r>
        <w:drawing>
          <wp:inline>
            <wp:extent cx="5969000" cy="5969000"/>
            <wp:effectExtent b="0" l="0" r="0" t="0"/>
            <wp:docPr descr="Figure 5 Posterior distribution of the slopes of age and breastfeeding. Red color indicated that 95% of the posterior distribution is greater or smaller than zero." title="" id="1" name="Picture"/>
            <a:graphic>
              <a:graphicData uri="http://schemas.openxmlformats.org/drawingml/2006/picture">
                <pic:pic>
                  <pic:nvPicPr>
                    <pic:cNvPr descr="index_files/figure-docx/unnamed-chunk-15-1.png" id="0" name="Picture"/>
                    <pic:cNvPicPr>
                      <a:picLocks noChangeArrowheads="1" noChangeAspect="1"/>
                    </pic:cNvPicPr>
                  </pic:nvPicPr>
                  <pic:blipFill>
                    <a:blip r:embed="rId46"/>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5 Posterior distribution of the slopes of age and breastfeeding. Red color indicated that 95% of the posterior distribution is greater or smaller than zero.</w:t>
      </w:r>
    </w:p>
    <w:p>
      <w:pPr>
        <w:pStyle w:val="FigureWithCaption"/>
      </w:pPr>
      <w:r>
        <w:drawing>
          <wp:inline>
            <wp:extent cx="5969000" cy="5969000"/>
            <wp:effectExtent b="0" l="0" r="0" t="0"/>
            <wp:docPr descr="Figure 6 Posterior distribution of the difference in mu between CC and HOME. Red color indicated that 95% of the posterior distribution is greater or smaller than zero." title="" id="1" name="Picture"/>
            <a:graphic>
              <a:graphicData uri="http://schemas.openxmlformats.org/drawingml/2006/picture">
                <pic:pic>
                  <pic:nvPicPr>
                    <pic:cNvPr descr="index_files/figure-docx/unnamed-chunk-16-1.png" id="0" name="Picture"/>
                    <pic:cNvPicPr>
                      <a:picLocks noChangeArrowheads="1" noChangeAspect="1"/>
                    </pic:cNvPicPr>
                  </pic:nvPicPr>
                  <pic:blipFill>
                    <a:blip r:embed="rId47"/>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6 Posterior distribution of the difference in mu between CC and HOME. Red color indicated that 95% of the posterior distribution is greater or smaller than zero.</w:t>
      </w:r>
    </w:p>
    <w:p>
      <w:pPr>
        <w:pStyle w:val="FigureWithCaption"/>
      </w:pPr>
      <w:r>
        <w:drawing>
          <wp:inline>
            <wp:extent cx="5969000" cy="5969000"/>
            <wp:effectExtent b="0" l="0" r="0" t="0"/>
            <wp:docPr descr="Figure 7 Posterior distribution of the difference in mu within CC and HOME. Red color indicated that 95% of the posterior distribution is greater or smaller than zero." title="" id="1" name="Picture"/>
            <a:graphic>
              <a:graphicData uri="http://schemas.openxmlformats.org/drawingml/2006/picture">
                <pic:pic>
                  <pic:nvPicPr>
                    <pic:cNvPr descr="index_files/figure-docx/unnamed-chunk-17-1.png" id="0" name="Picture"/>
                    <pic:cNvPicPr>
                      <a:picLocks noChangeArrowheads="1" noChangeAspect="1"/>
                    </pic:cNvPicPr>
                  </pic:nvPicPr>
                  <pic:blipFill>
                    <a:blip r:embed="rId48"/>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7 Posterior distribution of the difference in mu within CC and HOME. Red color indicated that 95% of the posterior distribution is greater or smaller than zero.</w:t>
      </w:r>
    </w:p>
    <w:p>
      <w:pPr>
        <w:pStyle w:val="FigureWithCaption"/>
      </w:pPr>
      <w:r>
        <w:drawing>
          <wp:inline>
            <wp:extent cx="5969000" cy="5969000"/>
            <wp:effectExtent b="0" l="0" r="0" t="0"/>
            <wp:docPr descr="Figure 8 Posterior distribution of the difference in mu between sibling and delivery mode. Red color indicated that 95% of the posterior distribution is greater or smaller than zero." title="" id="1" name="Picture"/>
            <a:graphic>
              <a:graphicData uri="http://schemas.openxmlformats.org/drawingml/2006/picture">
                <pic:pic>
                  <pic:nvPicPr>
                    <pic:cNvPr descr="index_files/figure-docx/unnamed-chunk-18-1.png" id="0" name="Picture"/>
                    <pic:cNvPicPr>
                      <a:picLocks noChangeArrowheads="1" noChangeAspect="1"/>
                    </pic:cNvPicPr>
                  </pic:nvPicPr>
                  <pic:blipFill>
                    <a:blip r:embed="rId49"/>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8 Posterior distribution of the difference in mu between sibling and delivery mode. Red color indicated that 95% of the posterior distribution is greater or smaller than zero.</w:t>
      </w:r>
    </w:p>
    <w:p>
      <w:pPr>
        <w:pStyle w:val="FigureWithCaption"/>
      </w:pPr>
      <w:r>
        <w:drawing>
          <wp:inline>
            <wp:extent cx="5969000" cy="1989666"/>
            <wp:effectExtent b="0" l="0" r="0" t="0"/>
            <wp:docPr descr="Figure 9 Individual paths between PRE and POST samples for Streoptococcus mitis et rel (A) and Streptococcus bovis et rel (B)." title="" id="1" name="Picture"/>
            <a:graphic>
              <a:graphicData uri="http://schemas.openxmlformats.org/drawingml/2006/picture">
                <pic:pic>
                  <pic:nvPicPr>
                    <pic:cNvPr descr="index_files/figure-docx/unnamed-chunk-19-1.png" id="0" name="Picture"/>
                    <pic:cNvPicPr>
                      <a:picLocks noChangeArrowheads="1" noChangeAspect="1"/>
                    </pic:cNvPicPr>
                  </pic:nvPicPr>
                  <pic:blipFill>
                    <a:blip r:embed="rId50"/>
                    <a:stretch>
                      <a:fillRect/>
                    </a:stretch>
                  </pic:blipFill>
                  <pic:spPr bwMode="auto">
                    <a:xfrm>
                      <a:off x="0" y="0"/>
                      <a:ext cx="5969000" cy="1989666"/>
                    </a:xfrm>
                    <a:prstGeom prst="rect">
                      <a:avLst/>
                    </a:prstGeom>
                    <a:noFill/>
                    <a:ln w="9525">
                      <a:noFill/>
                      <a:headEnd/>
                      <a:tailEnd/>
                    </a:ln>
                  </pic:spPr>
                </pic:pic>
              </a:graphicData>
            </a:graphic>
          </wp:inline>
        </w:drawing>
      </w:r>
    </w:p>
    <w:p>
      <w:pPr>
        <w:pStyle w:val="ImageCaption"/>
      </w:pPr>
      <w:r>
        <w:t xml:space="preserve">Figure 9 Individual paths between PRE and POST samples for Streoptococcus mitis et rel (A) and Streptococcus bovis et rel (B).</w:t>
      </w:r>
    </w:p>
    <w:p>
      <w:pPr>
        <w:pStyle w:val="FigureWithCaption"/>
      </w:pPr>
      <w:r>
        <w:drawing>
          <wp:inline>
            <wp:extent cx="5969000" cy="1989666"/>
            <wp:effectExtent b="0" l="0" r="0" t="0"/>
            <wp:docPr descr="Figure 10 Individual paths between PRE and POST samples for Streoptococcus intermedius et rel (A) and Granulicatella (B)." title="" id="1" name="Picture"/>
            <a:graphic>
              <a:graphicData uri="http://schemas.openxmlformats.org/drawingml/2006/picture">
                <pic:pic>
                  <pic:nvPicPr>
                    <pic:cNvPr descr="index_files/figure-docx/unnamed-chunk-20-1.png" id="0" name="Picture"/>
                    <pic:cNvPicPr>
                      <a:picLocks noChangeArrowheads="1" noChangeAspect="1"/>
                    </pic:cNvPicPr>
                  </pic:nvPicPr>
                  <pic:blipFill>
                    <a:blip r:embed="rId51"/>
                    <a:stretch>
                      <a:fillRect/>
                    </a:stretch>
                  </pic:blipFill>
                  <pic:spPr bwMode="auto">
                    <a:xfrm>
                      <a:off x="0" y="0"/>
                      <a:ext cx="5969000" cy="1989666"/>
                    </a:xfrm>
                    <a:prstGeom prst="rect">
                      <a:avLst/>
                    </a:prstGeom>
                    <a:noFill/>
                    <a:ln w="9525">
                      <a:noFill/>
                      <a:headEnd/>
                      <a:tailEnd/>
                    </a:ln>
                  </pic:spPr>
                </pic:pic>
              </a:graphicData>
            </a:graphic>
          </wp:inline>
        </w:drawing>
      </w:r>
    </w:p>
    <w:p>
      <w:pPr>
        <w:pStyle w:val="ImageCaption"/>
      </w:pPr>
      <w:r>
        <w:t xml:space="preserve">Figure 10 Individual paths between PRE and POST samples for Streoptococcus intermedius et rel (A) and Granulicatella (B).</w:t>
      </w:r>
    </w:p>
    <w:p>
      <w:pPr>
        <w:pStyle w:val="FigureWithCaption"/>
      </w:pPr>
      <w:r>
        <w:drawing>
          <wp:inline>
            <wp:extent cx="5969000" cy="5969000"/>
            <wp:effectExtent b="0" l="0" r="0" t="0"/>
            <wp:docPr descr="Figure 11 Individual paths between PRE and POST samples for Bifidobacterium for infants with or without siblings. Infants born via cesearean section are indicated by red color." title="" id="1" name="Picture"/>
            <a:graphic>
              <a:graphicData uri="http://schemas.openxmlformats.org/drawingml/2006/picture">
                <pic:pic>
                  <pic:nvPicPr>
                    <pic:cNvPr descr="index_files/figure-docx/unnamed-chunk-21-1.png" id="0" name="Picture"/>
                    <pic:cNvPicPr>
                      <a:picLocks noChangeArrowheads="1" noChangeAspect="1"/>
                    </pic:cNvPicPr>
                  </pic:nvPicPr>
                  <pic:blipFill>
                    <a:blip r:embed="rId52"/>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11 Individual paths between PRE and POST samples for Bifidobacterium for infants with or without siblings. Infants born via cesearean section are indicated by red color.</w:t>
      </w:r>
    </w:p>
    <w:p>
      <w:pPr>
        <w:pStyle w:val="berschrift4"/>
      </w:pPr>
      <w:bookmarkStart w:id="53" w:name="alpha-diversity-hierarchical-lm"/>
      <w:bookmarkEnd w:id="53"/>
      <w:r>
        <w:t xml:space="preserve">3.2.3 Alpha diversity (hierarchical LM)</w:t>
      </w:r>
    </w:p>
    <w:p>
      <w:pPr>
        <w:pStyle w:val="FirstParagraph"/>
      </w:pPr>
      <w:r>
        <w:t xml:space="preserve">Alpha-diversity was assumed to be Gaussian distributed with constant variance</w:t>
      </w:r>
      <w:r>
        <w:t xml:space="preserve"> </w:t>
      </w:r>
      <m:oMath>
        <m:r>
          <m:t>σ</m:t>
        </m:r>
      </m:oMath>
      <w:r>
        <w:t xml:space="preserve">. Table x shows the estimated difference in the parameter</w:t>
      </w:r>
      <w:r>
        <w:t xml:space="preserve"> </w:t>
      </w:r>
      <m:oMath>
        <m:r>
          <m:t>μ</m:t>
        </m:r>
      </m:oMath>
      <w:r>
        <w:t xml:space="preserve"> </w:t>
      </w:r>
      <w:r>
        <w:t xml:space="preserve">of the generalized Gaussian distribution between groups as well as the estimated</w:t>
      </w:r>
      <w:r>
        <w:t xml:space="preserve"> </w:t>
      </w:r>
      <m:oMath>
        <m:r>
          <m:t>σ</m:t>
        </m:r>
      </m:oMath>
      <w:r>
        <w:t xml:space="preserve">. There was no difference in alpha diversity within the HOME group or between HOME and CC before childcare entrance. However, comparing</w:t>
      </w:r>
      <w:r>
        <w:t xml:space="preserve"> </w:t>
      </w:r>
      <m:oMath>
        <m:r>
          <m:t>μ</m:t>
        </m:r>
      </m:oMath>
      <w:r>
        <w:t xml:space="preserve"> </w:t>
      </w:r>
      <w:r>
        <w:t xml:space="preserve">within CC or between HOME and CC after entrance, we see that diversity is lower in the CC group with high certainty suggesting that CC lead to a decrease in alpha diversity. Figure 3 shows alpha diversity for each subject for each subgroup. It furthermore shows the highest probability density interval of</w:t>
      </w:r>
      <w:r>
        <w:t xml:space="preserve"> </w:t>
      </w:r>
      <m:oMath>
        <m:r>
          <m:t>μ</m:t>
        </m:r>
      </m:oMath>
      <w:r>
        <w:t xml:space="preserve"> </w:t>
      </w:r>
      <w:r>
        <w:t xml:space="preserve">for each group. We see that</w:t>
      </w:r>
      <w:r>
        <w:t xml:space="preserve"> </w:t>
      </w:r>
      <m:oMath>
        <m:r>
          <m:t>μ</m:t>
        </m:r>
      </m:oMath>
      <w:r>
        <w:t xml:space="preserve"> </w:t>
      </w:r>
      <w:r>
        <w:t xml:space="preserve">was highest in the CC group before entrance and lowest of all groups after CC attendance. However, we see again large individual variation within each group. Besides that, cesarian section leads to an increase in alpha-diversity, whereas having a sibling is associated with a decreased alpha-diversity.</w:t>
      </w:r>
    </w:p>
    <w:p>
      <w:pPr>
        <w:pStyle w:val="Compact"/>
      </w:pPr>
      <w:r>
        <w:t xml:space="preserve">Table 3</w:t>
      </w:r>
    </w:p>
    <w:p>
      <w:pPr>
        <w:pStyle w:val="Compact"/>
      </w:pPr>
      <w:r>
        <w:rPr>
          <w:i/>
        </w:rPr>
        <w:t xml:space="preserve">Estimated model parameters alpha diversity.</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95% HPDI</w:t>
            </w:r>
          </w:p>
        </w:tc>
        <w:tc>
          <w:tcPr>
            <w:tcBorders>
              <w:bottom w:val="single"/>
            </w:tcBorders>
            <w:vAlign w:val="bottom"/>
          </w:tcPr>
          <w:p>
            <w:pPr>
              <w:pStyle w:val="Compact"/>
              <w:jc w:val="left"/>
            </w:pPr>
            <w:r>
              <w:t xml:space="preserve">P(Parameter &lt; 0)</w:t>
            </w:r>
          </w:p>
        </w:tc>
      </w:tr>
      <w:tr>
        <w:tc>
          <w:p>
            <w:pPr>
              <w:pStyle w:val="Compact"/>
              <w:jc w:val="left"/>
            </w:pPr>
            <w:r>
              <w:t xml:space="preserve">CCPOST - CCPRE</w:t>
            </w:r>
          </w:p>
        </w:tc>
        <w:tc>
          <w:p>
            <w:pPr>
              <w:pStyle w:val="Compact"/>
              <w:jc w:val="left"/>
            </w:pPr>
            <w:r>
              <w:t xml:space="preserve">-0.24</w:t>
            </w:r>
          </w:p>
        </w:tc>
        <w:tc>
          <w:p>
            <w:pPr>
              <w:pStyle w:val="Compact"/>
              <w:jc w:val="left"/>
            </w:pPr>
            <w:r>
              <w:t xml:space="preserve">[-0.462, -0.018]</w:t>
            </w:r>
          </w:p>
        </w:tc>
        <w:tc>
          <w:p>
            <w:pPr>
              <w:pStyle w:val="Compact"/>
              <w:jc w:val="left"/>
            </w:pPr>
            <w:r>
              <w:t xml:space="preserve">0.98</w:t>
            </w:r>
          </w:p>
        </w:tc>
      </w:tr>
      <w:tr>
        <w:tc>
          <w:p>
            <w:pPr>
              <w:pStyle w:val="Compact"/>
              <w:jc w:val="left"/>
            </w:pPr>
            <w:r>
              <w:t xml:space="preserve">CCPOST - HOMEPOST</w:t>
            </w:r>
          </w:p>
        </w:tc>
        <w:tc>
          <w:p>
            <w:pPr>
              <w:pStyle w:val="Compact"/>
              <w:jc w:val="left"/>
            </w:pPr>
            <w:r>
              <w:t xml:space="preserve">-0.25</w:t>
            </w:r>
          </w:p>
        </w:tc>
        <w:tc>
          <w:p>
            <w:pPr>
              <w:pStyle w:val="Compact"/>
              <w:jc w:val="left"/>
            </w:pPr>
            <w:r>
              <w:t xml:space="preserve">[-0.423, -0.069]</w:t>
            </w:r>
          </w:p>
        </w:tc>
        <w:tc>
          <w:p>
            <w:pPr>
              <w:pStyle w:val="Compact"/>
              <w:jc w:val="left"/>
            </w:pPr>
            <w:r>
              <w:t xml:space="preserve">1.00</w:t>
            </w:r>
          </w:p>
        </w:tc>
      </w:tr>
      <w:tr>
        <w:tc>
          <w:p>
            <w:pPr>
              <w:pStyle w:val="Compact"/>
              <w:jc w:val="left"/>
            </w:pPr>
            <w:r>
              <w:t xml:space="preserve">CCPRE - HOMEPRE</w:t>
            </w:r>
          </w:p>
        </w:tc>
        <w:tc>
          <w:p>
            <w:pPr>
              <w:pStyle w:val="Compact"/>
              <w:jc w:val="left"/>
            </w:pPr>
            <w:r>
              <w:t xml:space="preserve">0.00</w:t>
            </w:r>
          </w:p>
        </w:tc>
        <w:tc>
          <w:p>
            <w:pPr>
              <w:pStyle w:val="Compact"/>
              <w:jc w:val="left"/>
            </w:pPr>
            <w:r>
              <w:t xml:space="preserve">[-0.174, 0.175]</w:t>
            </w:r>
          </w:p>
        </w:tc>
        <w:tc>
          <w:p>
            <w:pPr>
              <w:pStyle w:val="Compact"/>
              <w:jc w:val="left"/>
            </w:pPr>
            <w:r>
              <w:t xml:space="preserve">0.50</w:t>
            </w:r>
          </w:p>
        </w:tc>
      </w:tr>
      <w:tr>
        <w:tc>
          <w:p>
            <w:pPr>
              <w:pStyle w:val="Compact"/>
              <w:jc w:val="left"/>
            </w:pPr>
            <w:r>
              <w:t xml:space="preserve">HOME_POST - HOME_PRE</w:t>
            </w:r>
          </w:p>
        </w:tc>
        <w:tc>
          <w:p>
            <w:pPr>
              <w:pStyle w:val="Compact"/>
              <w:jc w:val="left"/>
            </w:pPr>
            <w:r>
              <w:t xml:space="preserve">0.01</w:t>
            </w:r>
          </w:p>
        </w:tc>
        <w:tc>
          <w:p>
            <w:pPr>
              <w:pStyle w:val="Compact"/>
              <w:jc w:val="left"/>
            </w:pPr>
            <w:r>
              <w:t xml:space="preserve">[-0.217, 0.225]</w:t>
            </w:r>
          </w:p>
        </w:tc>
        <w:tc>
          <w:p>
            <w:pPr>
              <w:pStyle w:val="Compact"/>
              <w:jc w:val="left"/>
            </w:pPr>
            <w:r>
              <w:t xml:space="preserve">0.47</w:t>
            </w:r>
          </w:p>
        </w:tc>
      </w:tr>
      <w:tr>
        <w:tc>
          <w:p>
            <w:pPr>
              <w:pStyle w:val="Compact"/>
              <w:jc w:val="left"/>
            </w:pPr>
            <w:r>
              <w:t xml:space="preserve">Age</w:t>
            </w:r>
          </w:p>
        </w:tc>
        <w:tc>
          <w:p>
            <w:pPr>
              <w:pStyle w:val="Compact"/>
              <w:jc w:val="left"/>
            </w:pPr>
            <w:r>
              <w:t xml:space="preserve">0.07</w:t>
            </w:r>
          </w:p>
        </w:tc>
        <w:tc>
          <w:p>
            <w:pPr>
              <w:pStyle w:val="Compact"/>
              <w:jc w:val="left"/>
            </w:pPr>
            <w:r>
              <w:t xml:space="preserve">[-0.042, 0.191]</w:t>
            </w:r>
          </w:p>
        </w:tc>
        <w:tc>
          <w:p>
            <w:pPr>
              <w:pStyle w:val="Compact"/>
              <w:jc w:val="left"/>
            </w:pPr>
            <w:r>
              <w:t xml:space="preserve">0.11</w:t>
            </w:r>
          </w:p>
        </w:tc>
      </w:tr>
      <w:tr>
        <w:tc>
          <w:p>
            <w:pPr>
              <w:pStyle w:val="Compact"/>
              <w:jc w:val="left"/>
            </w:pPr>
            <w:r>
              <w:t xml:space="preserve">Bf</w:t>
            </w:r>
          </w:p>
        </w:tc>
        <w:tc>
          <w:p>
            <w:pPr>
              <w:pStyle w:val="Compact"/>
              <w:jc w:val="left"/>
            </w:pPr>
            <w:r>
              <w:t xml:space="preserve">-0.06</w:t>
            </w:r>
          </w:p>
        </w:tc>
        <w:tc>
          <w:p>
            <w:pPr>
              <w:pStyle w:val="Compact"/>
              <w:jc w:val="left"/>
            </w:pPr>
            <w:r>
              <w:t xml:space="preserve">[-0.133, 0.004]</w:t>
            </w:r>
          </w:p>
        </w:tc>
        <w:tc>
          <w:p>
            <w:pPr>
              <w:pStyle w:val="Compact"/>
              <w:jc w:val="left"/>
            </w:pPr>
            <w:r>
              <w:t xml:space="preserve">0.97</w:t>
            </w:r>
          </w:p>
        </w:tc>
      </w:tr>
      <w:tr>
        <w:tc>
          <w:p>
            <w:pPr>
              <w:pStyle w:val="Compact"/>
              <w:jc w:val="left"/>
            </w:pPr>
            <w:r>
              <w:t xml:space="preserve">Csection</w:t>
            </w:r>
          </w:p>
        </w:tc>
        <w:tc>
          <w:p>
            <w:pPr>
              <w:pStyle w:val="Compact"/>
              <w:jc w:val="left"/>
            </w:pPr>
            <w:r>
              <w:t xml:space="preserve">0.45</w:t>
            </w:r>
          </w:p>
        </w:tc>
        <w:tc>
          <w:p>
            <w:pPr>
              <w:pStyle w:val="Compact"/>
              <w:jc w:val="left"/>
            </w:pPr>
            <w:r>
              <w:t xml:space="preserve">[0.147, 0.765]</w:t>
            </w:r>
          </w:p>
        </w:tc>
        <w:tc>
          <w:p>
            <w:pPr>
              <w:pStyle w:val="Compact"/>
              <w:jc w:val="left"/>
            </w:pPr>
            <w:r>
              <w:t xml:space="preserve">0.00</w:t>
            </w:r>
          </w:p>
        </w:tc>
      </w:tr>
      <w:tr>
        <w:tc>
          <w:p>
            <w:pPr>
              <w:pStyle w:val="Compact"/>
              <w:jc w:val="left"/>
            </w:pPr>
            <w:r>
              <w:t xml:space="preserve">Sibling</w:t>
            </w:r>
          </w:p>
        </w:tc>
        <w:tc>
          <w:p>
            <w:pPr>
              <w:pStyle w:val="Compact"/>
              <w:jc w:val="left"/>
            </w:pPr>
            <w:r>
              <w:t xml:space="preserve">-0.09</w:t>
            </w:r>
          </w:p>
        </w:tc>
        <w:tc>
          <w:p>
            <w:pPr>
              <w:pStyle w:val="Compact"/>
              <w:jc w:val="left"/>
            </w:pPr>
            <w:r>
              <w:t xml:space="preserve">[-0.243, 0.056]</w:t>
            </w:r>
          </w:p>
        </w:tc>
        <w:tc>
          <w:p>
            <w:pPr>
              <w:pStyle w:val="Compact"/>
              <w:jc w:val="left"/>
            </w:pPr>
            <w:r>
              <w:t xml:space="preserve">0.88</w:t>
            </w:r>
          </w:p>
        </w:tc>
      </w:tr>
      <w:tr>
        <w:tc>
          <w:p>
            <w:pPr>
              <w:pStyle w:val="Compact"/>
              <w:jc w:val="left"/>
            </w:pPr>
            <w:r>
              <w:t xml:space="preserve">Csection:sibling</w:t>
            </w:r>
          </w:p>
        </w:tc>
        <w:tc>
          <w:p>
            <w:pPr>
              <w:pStyle w:val="Compact"/>
              <w:jc w:val="left"/>
            </w:pPr>
            <w:r>
              <w:t xml:space="preserve">-0.04</w:t>
            </w:r>
          </w:p>
        </w:tc>
        <w:tc>
          <w:p>
            <w:pPr>
              <w:pStyle w:val="Compact"/>
              <w:jc w:val="left"/>
            </w:pPr>
            <w:r>
              <w:t xml:space="preserve">[-0.473, 0.418]</w:t>
            </w:r>
          </w:p>
        </w:tc>
        <w:tc>
          <w:p>
            <w:pPr>
              <w:pStyle w:val="Compact"/>
              <w:jc w:val="left"/>
            </w:pPr>
            <w:r>
              <w:t xml:space="preserve">0.56</w:t>
            </w:r>
          </w:p>
        </w:tc>
      </w:tr>
      <w:tr>
        <w:tc>
          <w:p>
            <w:pPr>
              <w:pStyle w:val="Compact"/>
              <w:jc w:val="left"/>
            </w:pPr>
            <w:r>
              <w:t xml:space="preserve">Sigma</w:t>
            </w:r>
          </w:p>
        </w:tc>
        <w:tc>
          <w:p>
            <w:pPr>
              <w:pStyle w:val="Compact"/>
              <w:jc w:val="left"/>
            </w:pPr>
            <w:r>
              <w:t xml:space="preserve">0.33</w:t>
            </w:r>
          </w:p>
        </w:tc>
        <w:tc>
          <w:p>
            <w:pPr>
              <w:pStyle w:val="Compact"/>
              <w:jc w:val="left"/>
            </w:pPr>
            <w:r>
              <w:t xml:space="preserve">[0.275, 0.398]</w:t>
            </w:r>
          </w:p>
        </w:tc>
        <w:tc>
          <w:p>
            <w:pPr>
              <w:pStyle w:val="Compact"/>
              <w:jc w:val="left"/>
            </w:pPr>
            <w:r>
              <w:t xml:space="preserve">0.00</w:t>
            </w:r>
          </w:p>
        </w:tc>
      </w:tr>
    </w:tbl>
    <w:p>
      <w:pPr>
        <w:pStyle w:val="FigureWithCaption"/>
      </w:pPr>
      <w:r>
        <w:drawing>
          <wp:inline>
            <wp:extent cx="5969000" cy="5969000"/>
            <wp:effectExtent b="0" l="0" r="0" t="0"/>
            <wp:docPr descr="Figure 12 Observed values of Shannon alpha-diversity (points), individual paths and 95% highest probability density interval of the posterior distribution of mu when age and breastfeeding are kept at sample average." title="" id="1" name="Picture"/>
            <a:graphic>
              <a:graphicData uri="http://schemas.openxmlformats.org/drawingml/2006/picture">
                <pic:pic>
                  <pic:nvPicPr>
                    <pic:cNvPr descr="index_files/figure-docx/unnamed-chunk-23-1.png" id="0" name="Picture"/>
                    <pic:cNvPicPr>
                      <a:picLocks noChangeArrowheads="1" noChangeAspect="1"/>
                    </pic:cNvPicPr>
                  </pic:nvPicPr>
                  <pic:blipFill>
                    <a:blip r:embed="rId54"/>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12 Observed values of Shannon alpha-diversity (points), individual paths and 95% highest probability density interval of the posterior distribution of mu when age and breastfeeding are kept at sample average.</w:t>
      </w:r>
    </w:p>
    <w:p>
      <w:pPr>
        <w:pStyle w:val="berschrift2"/>
      </w:pPr>
      <w:bookmarkStart w:id="55" w:name="random-forest"/>
      <w:bookmarkEnd w:id="55"/>
      <w:r>
        <w:t xml:space="preserve">3.4 Random Forest</w:t>
      </w:r>
    </w:p>
    <w:p>
      <w:pPr>
        <w:pStyle w:val="FirstParagraph"/>
      </w:pPr>
      <w:r>
        <w:t xml:space="preserve">According to our hypotheses, we would expect to be able to classify whether an infant belongs to the CC group at time-point POST. In contrast, at time-point PRE we would expect prediction accuracy to be lower since there should be no differences between CC and HOME. Neither the PRE model, nor the POST model achieved a higher prediction accuracy than 0.51 suggesting that there was no systematic effect of childcare entrance on microbiota composition.</w:t>
      </w:r>
    </w:p>
    <w:p>
      <w:pPr>
        <w:pStyle w:val="berschrift1"/>
      </w:pPr>
      <w:bookmarkStart w:id="56" w:name="discussion"/>
      <w:bookmarkEnd w:id="56"/>
      <w:r>
        <w:t xml:space="preserve">4. Discussion</w:t>
      </w:r>
    </w:p>
    <w:p>
      <w:pPr>
        <w:pStyle w:val="FirstParagraph"/>
      </w:pPr>
      <w:r>
        <w:t xml:space="preserve">We utilized both multivariate and univariate statistical approaches to test our hypotheses that CC has an effect on gut microbiota composition . Our analyses did not indicate a significant effect of CC over time and therefore both null hypotheses could not be rejected for our sample. Unexpectedly, breastfeeding and CC together explained only small amounts of variation in overall microbiota composition.</w:t>
      </w:r>
      <w:r>
        <w:br w:type="textWrapping"/>
      </w:r>
      <w:r>
        <w:t xml:space="preserve">This result is in contrast to the previously cited rodent studies</w:t>
      </w:r>
      <w:r>
        <w:t xml:space="preserve"> </w:t>
      </w:r>
      <w:r>
        <w:t xml:space="preserve">(</w:t>
      </w:r>
      <w:r>
        <w:rPr>
          <w:b/>
        </w:rPr>
        <w:t xml:space="preserve">???</w:t>
      </w:r>
      <w:r>
        <w:t xml:space="preserve">)</w:t>
      </w:r>
      <w:r>
        <w:t xml:space="preserve">, but in line with</w:t>
      </w:r>
      <w:r>
        <w:t xml:space="preserve"> </w:t>
      </w:r>
      <w:r>
        <w:t xml:space="preserve">(</w:t>
      </w:r>
      <w:r>
        <w:rPr>
          <w:b/>
        </w:rPr>
        <w:t xml:space="preserve">???</w:t>
      </w:r>
      <w:r>
        <w:t xml:space="preserve">)</w:t>
      </w:r>
      <w:r>
        <w:t xml:space="preserve"> </w:t>
      </w:r>
      <w:r>
        <w:t xml:space="preserve">who recently explored the drivers of microbiota variation and similarly showed very small effect sizes for all covariates under investigation. In total, 69 of 503 (13.7%) metadata variables were significantly associated with microbiota composition and these had a cumulative (non-redundant) effect size on community variation of only 7.63%. Thus, more than 92% of microbiota variation remained unexplained suggesting additional contribution from unknown factors, such as stochastic effects and biotic interactions.</w:t>
      </w:r>
      <w:r>
        <w:br w:type="textWrapping"/>
      </w:r>
      <w:r>
        <w:t xml:space="preserve">In animal experiments the variable under investigation is usually the only factor that is changed, while in human populations the hosts show much more variation with regards to genetics and lifestyle, while the microbiota is subject to much more interactions with the environment</w:t>
      </w:r>
      <w:r>
        <w:t xml:space="preserve"> </w:t>
      </w:r>
      <w:r>
        <w:t xml:space="preserve">(</w:t>
      </w:r>
      <w:r>
        <w:rPr>
          <w:b/>
        </w:rPr>
        <w:t xml:space="preserve">???</w:t>
      </w:r>
      <w:r>
        <w:t xml:space="preserve">,</w:t>
      </w:r>
      <w:r>
        <w:t xml:space="preserve"> </w:t>
      </w:r>
      <w:r>
        <w:rPr>
          <w:b/>
        </w:rPr>
        <w:t xml:space="preserve">???</w:t>
      </w:r>
      <w:r>
        <w:t xml:space="preserve">)</w:t>
      </w:r>
      <w:r>
        <w:t xml:space="preserve">.</w:t>
      </w:r>
      <w:r>
        <w:br w:type="textWrapping"/>
      </w:r>
      <w:r>
        <w:t xml:space="preserve">Nevertheless, the structure, function and stability of the infant microbiota is significantly different in composition as well as diversity from that of adults</w:t>
      </w:r>
      <w:r>
        <w:t xml:space="preserve"> </w:t>
      </w:r>
      <w:r>
        <w:t xml:space="preserve">(</w:t>
      </w:r>
      <w:r>
        <w:rPr>
          <w:b/>
        </w:rPr>
        <w:t xml:space="preserve">???</w:t>
      </w:r>
      <w:r>
        <w:t xml:space="preserve">)</w:t>
      </w:r>
      <w:r>
        <w:t xml:space="preserve">. Especially in the first few weeks the gut microbiota composition is highly unstable and individual. This period is followed up by a more stable phase dominated by</w:t>
      </w:r>
      <w:r>
        <w:t xml:space="preserve"> </w:t>
      </w:r>
      <w:r>
        <w:rPr>
          <w:i/>
        </w:rPr>
        <w:t xml:space="preserve">Bifidobacterium</w:t>
      </w:r>
      <w:r>
        <w:t xml:space="preserve"> </w:t>
      </w:r>
      <w:r>
        <w:t xml:space="preserve">species when breastfed and gradually goes to a more mature and diverse community during weaning due to the introduction of solid foods. It is yet unclear at what age the microbiota fully matures, but estimates range from 1 to 3 years of age</w:t>
      </w:r>
      <w:r>
        <w:t xml:space="preserve"> </w:t>
      </w:r>
      <w:r>
        <w:t xml:space="preserve">(</w:t>
      </w:r>
      <w:r>
        <w:rPr>
          <w:b/>
        </w:rPr>
        <w:t xml:space="preserve">???</w:t>
      </w:r>
      <w:r>
        <w:t xml:space="preserve">)</w:t>
      </w:r>
      <w:r>
        <w:t xml:space="preserve">.</w:t>
      </w:r>
      <w:r>
        <w:t xml:space="preserve"> </w:t>
      </w:r>
      <w:r>
        <w:t xml:space="preserve">This difference in microbiota dynamics in the first months of life could explain the small effect sizes we observed. Because the microbiota is so unstable it might be that there are no general effects of microbiota composition, in other words: Every infant responds in a unique way. This seems to be the case as can be seen by figures 5-14 where we do observe an average response, but a high percentage of infants shows an opposite effect. Inspecting the same figures for the remaining 120 bacterial groups, we also find highly variable trends between T0 and T1, which explains why we don’t observe an overall general effect. Another line of reasoning could be that, because of the lower stability of the infant microbiota compared to adults, it is therefore more easily</w:t>
      </w:r>
      <w:r>
        <w:t xml:space="preserve"> </w:t>
      </w:r>
      <w:r>
        <w:t xml:space="preserve">‘</w:t>
      </w:r>
      <w:r>
        <w:t xml:space="preserve">pushed</w:t>
      </w:r>
      <w:r>
        <w:t xml:space="preserve">’</w:t>
      </w:r>
      <w:r>
        <w:t xml:space="preserve"> </w:t>
      </w:r>
      <w:r>
        <w:t xml:space="preserve">or shifted due to an environmental influence such as the entrance to CC. This could still be the case. However, our data suggests the effects of this</w:t>
      </w:r>
      <w:r>
        <w:t xml:space="preserve"> </w:t>
      </w:r>
      <w:r>
        <w:t xml:space="preserve">‘</w:t>
      </w:r>
      <w:r>
        <w:t xml:space="preserve">push</w:t>
      </w:r>
      <w:r>
        <w:t xml:space="preserve">’</w:t>
      </w:r>
      <w:r>
        <w:t xml:space="preserve"> </w:t>
      </w:r>
      <w:r>
        <w:t xml:space="preserve">then are highly individual.</w:t>
      </w:r>
      <w:r>
        <w:br w:type="textWrapping"/>
      </w:r>
      <w:r>
        <w:t xml:space="preserve">Another observation is that unfortunately the period of the introduction of the first solid foods often coincided with the period under investigation, possibly combining multiple additional variables that affect the microbiota, thus obscuring separate effects. Further research would elucidate whether this is the case and we could then make classes for instance based on the percentage of solid food.</w:t>
      </w:r>
      <w:r>
        <w:br w:type="textWrapping"/>
      </w:r>
      <w:r>
        <w:t xml:space="preserve">Contrasting with previous studies we found no significant differences in the abundance of</w:t>
      </w:r>
      <w:r>
        <w:t xml:space="preserve"> </w:t>
      </w:r>
      <w:r>
        <w:rPr>
          <w:i/>
        </w:rPr>
        <w:t xml:space="preserve">Bifidobacterium</w:t>
      </w:r>
      <w:r>
        <w:t xml:space="preserve"> </w:t>
      </w:r>
      <w:r>
        <w:t xml:space="preserve">between breastfed and non-breastfed infants (see figure 15). This can be explained by the addition of prebiotic fibers in infant formula’s such as Galactooligosaccharides (GOS) and Fructooligosaccharides (FOS)</w:t>
      </w:r>
      <w:r>
        <w:t xml:space="preserve"> </w:t>
      </w:r>
      <w:r>
        <w:t xml:space="preserve">(</w:t>
      </w:r>
      <w:r>
        <w:rPr>
          <w:b/>
        </w:rPr>
        <w:t xml:space="preserve">???</w:t>
      </w:r>
      <w:r>
        <w:t xml:space="preserve">)</w:t>
      </w:r>
      <w:r>
        <w:t xml:space="preserve">. These fibers have been added in 2002 to most infant formulae (personal communication) to emulate the bifidogenic effect of breastmilk.</w:t>
      </w:r>
      <w:r>
        <w:br w:type="textWrapping"/>
      </w:r>
      <w:r>
        <w:t xml:space="preserve">In addition to biological explanations for our observations, we encountered several methodological limitations. First, only a limited number of infants were not breastfed per group (18 infants who entered childcare and 15 infants who did not enter childcare). Larger sample sizes might be required to find an effect of breastfeeding or interactions between breastfeeding and CC. Secondly, the distributional properties of the taxa could not be addressed by solely using a gaussian model. Despite log transforming the abundances, the assumptions of normality of residuals and heterogeneity of variance often could not be met for our LMEs. We used non-parametric tests for exploratory purposes, which are not affected by the distributional properties but these do not take into account individual variation, which is a strength of LME when testing repeated measurements</w:t>
      </w:r>
      <w:r>
        <w:t xml:space="preserve"> </w:t>
      </w:r>
      <w:r>
        <w:t xml:space="preserve">(</w:t>
      </w:r>
      <w:r>
        <w:rPr>
          <w:b/>
        </w:rPr>
        <w:t xml:space="preserve">???</w:t>
      </w:r>
      <w:r>
        <w:t xml:space="preserve">)</w:t>
      </w:r>
      <w:r>
        <w:t xml:space="preserve">. A possible solution could be to analyze the data taking into consideration the individual distribution for each bacterial genus e.g. by using different link functions for the generalized linear mixed effects models. It should be noted though that for the purpose of inference as opposed to prediction, the assumptions of normality of residuals and homogeneity of variance are less important and at least mild violations should be unproblematic</w:t>
      </w:r>
      <w:r>
        <w:t xml:space="preserve"> </w:t>
      </w:r>
      <w:r>
        <w:t xml:space="preserve">(</w:t>
      </w:r>
      <w:r>
        <w:rPr>
          <w:b/>
        </w:rPr>
        <w:t xml:space="preserve">???</w:t>
      </w:r>
      <w:r>
        <w:t xml:space="preserve">)</w:t>
      </w:r>
      <w:r>
        <w:t xml:space="preserve">.</w:t>
      </w:r>
      <w:r>
        <w:br w:type="textWrapping"/>
      </w:r>
      <w:r>
        <w:t xml:space="preserve">In conclusion, based on our analyses it seems that childcare attendance does not influence the microbiota in a large and distinct way, beyond normal temporal variation. This does not mean that childcare attendance does not have an effect on the microbiota, but might imply that its effect on the microbiota are either very individual or are only observable at a different level, such as through bacterial metabolites.</w:t>
      </w:r>
    </w:p>
    <w:p>
      <w:pPr>
        <w:pStyle w:val="berschrift1"/>
      </w:pPr>
      <w:bookmarkStart w:id="57" w:name="references"/>
      <w:bookmarkEnd w:id="57"/>
      <w:r>
        <w:t xml:space="preserve">References</w:t>
      </w:r>
    </w:p>
    <w:p>
      <w:pPr>
        <w:pStyle w:val="FirstParagraph"/>
      </w:pPr>
      <w:r>
        <w:t xml:space="preserve"> </w:t>
      </w:r>
    </w:p>
    <w:p>
      <w:pPr>
        <w:pStyle w:val="Textkrper"/>
      </w:pPr>
      <w:r>
        <w:t xml:space="preserve">Aitchison, J. (1986).</w:t>
      </w:r>
      <w:r>
        <w:t xml:space="preserve"> </w:t>
      </w:r>
      <w:r>
        <w:rPr>
          <w:i/>
        </w:rPr>
        <w:t xml:space="preserve">The statistical analysis of compositional data</w:t>
      </w:r>
      <w:r>
        <w:t xml:space="preserve">. London ; New York: Chapman and Hall.</w:t>
      </w:r>
    </w:p>
    <w:p>
      <w:pPr>
        <w:pStyle w:val="Textkrper"/>
      </w:pPr>
      <w:r>
        <w:t xml:space="preserve">Anderson, M. J. (2017). Permutational Multivariate Analysis of Variance (PERMANOVA). In N. Balakrishnan, T. Colton, B. Everitt, W. Piegorsch, F. Ruggeri, &amp; J. L. Teugels (Eds.),</w:t>
      </w:r>
      <w:r>
        <w:t xml:space="preserve"> </w:t>
      </w:r>
      <w:r>
        <w:rPr>
          <w:i/>
        </w:rPr>
        <w:t xml:space="preserve">Wiley StatsRef: Statistics Reference Online</w:t>
      </w:r>
      <w:r>
        <w:t xml:space="preserve"> </w:t>
      </w:r>
      <w:r>
        <w:t xml:space="preserve">(pp. 1–15). Chichester, UK: John Wiley &amp; Sons, Ltd.</w:t>
      </w:r>
      <w:r>
        <w:t xml:space="preserve"> </w:t>
      </w:r>
      <w:hyperlink r:id="rId58">
        <w:r>
          <w:rPr>
            <w:rStyle w:val="Hyperlink"/>
          </w:rPr>
          <w:t xml:space="preserve">https://doi.org/10.1002/9781118445112.stat07841</w:t>
        </w:r>
      </w:hyperlink>
    </w:p>
    <w:p>
      <w:pPr>
        <w:pStyle w:val="Textkrper"/>
      </w:pPr>
      <w:r>
        <w:t xml:space="preserve">Buuren, S. van. (2019).</w:t>
      </w:r>
      <w:r>
        <w:t xml:space="preserve"> </w:t>
      </w:r>
      <w:r>
        <w:rPr>
          <w:i/>
        </w:rPr>
        <w:t xml:space="preserve">Flexible imputation of missing data</w:t>
      </w:r>
      <w:r>
        <w:t xml:space="preserve"> </w:t>
      </w:r>
      <w:r>
        <w:t xml:space="preserve">(Second edition). Boca Raton, Florida: CRC Press.</w:t>
      </w:r>
    </w:p>
    <w:p>
      <w:pPr>
        <w:pStyle w:val="Textkrper"/>
      </w:pPr>
      <w:r>
        <w:t xml:space="preserve">Bürkner, P.-C. (2018). Advanced Bayesian multilevel modeling with the R package brms.</w:t>
      </w:r>
      <w:r>
        <w:t xml:space="preserve"> </w:t>
      </w:r>
      <w:r>
        <w:rPr>
          <w:i/>
        </w:rPr>
        <w:t xml:space="preserve">The R Journal</w:t>
      </w:r>
      <w:r>
        <w:t xml:space="preserve">,</w:t>
      </w:r>
      <w:r>
        <w:t xml:space="preserve"> </w:t>
      </w:r>
      <w:r>
        <w:rPr>
          <w:i/>
        </w:rPr>
        <w:t xml:space="preserve">10</w:t>
      </w:r>
      <w:r>
        <w:t xml:space="preserve">(1), 395–411.</w:t>
      </w:r>
    </w:p>
    <w:p>
      <w:pPr>
        <w:pStyle w:val="Textkrper"/>
      </w:pPr>
      <w:r>
        <w:t xml:space="preserve">Knights, D., Costello, E. K., &amp; Knight, R. (2011). Supervised classification of human microbiota.</w:t>
      </w:r>
      <w:r>
        <w:t xml:space="preserve"> </w:t>
      </w:r>
      <w:r>
        <w:rPr>
          <w:i/>
        </w:rPr>
        <w:t xml:space="preserve">FEMS Microbiology Reviews</w:t>
      </w:r>
      <w:r>
        <w:t xml:space="preserve">,</w:t>
      </w:r>
      <w:r>
        <w:t xml:space="preserve"> </w:t>
      </w:r>
      <w:r>
        <w:rPr>
          <w:i/>
        </w:rPr>
        <w:t xml:space="preserve">35</w:t>
      </w:r>
      <w:r>
        <w:t xml:space="preserve">(2), 343–359.</w:t>
      </w:r>
      <w:r>
        <w:t xml:space="preserve"> </w:t>
      </w:r>
      <w:hyperlink r:id="rId59">
        <w:r>
          <w:rPr>
            <w:rStyle w:val="Hyperlink"/>
          </w:rPr>
          <w:t xml:space="preserve">https://doi.org/10.1111/j.1574-6976.2010.00251.x</w:t>
        </w:r>
      </w:hyperlink>
    </w:p>
    <w:p>
      <w:pPr>
        <w:pStyle w:val="Textkrper"/>
      </w:pPr>
      <w:r>
        <w:t xml:space="preserve">Lahti, L., Shetty, S., Blake, T., &amp; Salojarvi, J. (2012–2017). Microbiome r package.</w:t>
      </w:r>
    </w:p>
    <w:p>
      <w:pPr>
        <w:pStyle w:val="Textkrper"/>
      </w:pPr>
      <w:r>
        <w:t xml:space="preserve">Oksanen, J., Blanchet, F. G., Friendly, M., Kindt, R., Legendre, P., McGlinn, D., … Wagner, H. (2018).</w:t>
      </w:r>
      <w:r>
        <w:t xml:space="preserve"> </w:t>
      </w:r>
      <w:r>
        <w:rPr>
          <w:i/>
        </w:rPr>
        <w:t xml:space="preserve">Vegan: Community ecology package</w:t>
      </w:r>
      <w:r>
        <w:t xml:space="preserve">. Retrieved from</w:t>
      </w:r>
      <w:r>
        <w:t xml:space="preserve"> </w:t>
      </w:r>
      <w:hyperlink r:id="rId60">
        <w:r>
          <w:rPr>
            <w:rStyle w:val="Hyperlink"/>
          </w:rPr>
          <w:t xml:space="preserve">https://CRAN.R-project.org/package=vegan</w:t>
        </w:r>
      </w:hyperlink>
    </w:p>
    <w:p>
      <w:pPr>
        <w:pStyle w:val="Textkrper"/>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61">
        <w:r>
          <w:rPr>
            <w:rStyle w:val="Hyperlink"/>
          </w:rPr>
          <w:t xml:space="preserve">https://www.R-project.org/</w:t>
        </w:r>
      </w:hyperlink>
    </w:p>
    <w:p>
      <w:pPr>
        <w:pStyle w:val="Textkrper"/>
      </w:pPr>
      <w:r>
        <w:t xml:space="preserve">Wright, M. N., &amp; Ziegler, A. (2017). ranger: A fast implementation of random forests for high dimensional data in C++ and R.</w:t>
      </w:r>
      <w:r>
        <w:t xml:space="preserve"> </w:t>
      </w:r>
      <w:r>
        <w:rPr>
          <w:i/>
        </w:rPr>
        <w:t xml:space="preserve">Journal of Statistical Software</w:t>
      </w:r>
      <w:r>
        <w:t xml:space="preserve">,</w:t>
      </w:r>
      <w:r>
        <w:t xml:space="preserve"> </w:t>
      </w:r>
      <w:r>
        <w:rPr>
          <w:i/>
        </w:rPr>
        <w:t xml:space="preserve">77</w:t>
      </w:r>
      <w:r>
        <w:t xml:space="preserve">(1), 1–17.</w:t>
      </w:r>
      <w:r>
        <w:t xml:space="preserve"> </w:t>
      </w:r>
      <w:hyperlink r:id="rId62">
        <w:r>
          <w:rPr>
            <w:rStyle w:val="Hyperlink"/>
          </w:rPr>
          <w:t xml:space="preserve">https://doi.org/10.18637/jss.v077.i01</w:t>
        </w:r>
      </w:hyperlink>
    </w:p>
    <w:p>
      <w:pPr>
        <w:pStyle w:val="Textkrper"/>
      </w:pPr>
    </w:p>
    <w:sectPr w:rsidR="007407D0" w:rsidRPr="007407D0" w:rsidSect="003C3842">
      <w:pgSz w:w="12240" w:h="15840"/>
      <w:pgMar w:top="1418" w:right="1418" w:bottom="1418" w:left="141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A3126B6A"/>
    <w:lvl w:ilvl="0">
      <w:start w:val="1"/>
      <w:numFmt w:val="decimal"/>
      <w:lvlText w:val="%1."/>
      <w:lvlJc w:val="left"/>
      <w:pPr>
        <w:tabs>
          <w:tab w:val="num" w:pos="1492"/>
        </w:tabs>
        <w:ind w:left="1492" w:hanging="360"/>
      </w:pPr>
    </w:lvl>
  </w:abstractNum>
  <w:abstractNum w:abstractNumId="3">
    <w:nsid w:val="FFFFFF7D"/>
    <w:multiLevelType w:val="singleLevel"/>
    <w:tmpl w:val="413CF14C"/>
    <w:lvl w:ilvl="0">
      <w:start w:val="1"/>
      <w:numFmt w:val="decimal"/>
      <w:lvlText w:val="%1."/>
      <w:lvlJc w:val="left"/>
      <w:pPr>
        <w:tabs>
          <w:tab w:val="num" w:pos="1209"/>
        </w:tabs>
        <w:ind w:left="1209" w:hanging="360"/>
      </w:pPr>
    </w:lvl>
  </w:abstractNum>
  <w:abstractNum w:abstractNumId="4">
    <w:nsid w:val="FFFFFF7E"/>
    <w:multiLevelType w:val="singleLevel"/>
    <w:tmpl w:val="26F02DE6"/>
    <w:lvl w:ilvl="0">
      <w:start w:val="1"/>
      <w:numFmt w:val="decimal"/>
      <w:lvlText w:val="%1."/>
      <w:lvlJc w:val="left"/>
      <w:pPr>
        <w:tabs>
          <w:tab w:val="num" w:pos="926"/>
        </w:tabs>
        <w:ind w:left="926" w:hanging="360"/>
      </w:pPr>
    </w:lvl>
  </w:abstractNum>
  <w:abstractNum w:abstractNumId="5">
    <w:nsid w:val="FFFFFF7F"/>
    <w:multiLevelType w:val="singleLevel"/>
    <w:tmpl w:val="22489044"/>
    <w:lvl w:ilvl="0">
      <w:start w:val="1"/>
      <w:numFmt w:val="decimal"/>
      <w:lvlText w:val="%1."/>
      <w:lvlJc w:val="left"/>
      <w:pPr>
        <w:tabs>
          <w:tab w:val="num" w:pos="643"/>
        </w:tabs>
        <w:ind w:left="643" w:hanging="360"/>
      </w:pPr>
    </w:lvl>
  </w:abstractNum>
  <w:abstractNum w:abstractNumId="6">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F2AA1BE2"/>
    <w:lvl w:ilvl="0">
      <w:start w:val="1"/>
      <w:numFmt w:val="decimal"/>
      <w:lvlText w:val="%1."/>
      <w:lvlJc w:val="left"/>
      <w:pPr>
        <w:tabs>
          <w:tab w:val="num" w:pos="360"/>
        </w:tabs>
        <w:ind w:left="360" w:hanging="360"/>
      </w:pPr>
    </w:lvl>
  </w:abstractNum>
  <w:abstractNum w:abstractNumId="11">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990">
    <w:nsid w:val="75d432e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2" w:uiPriority="9" w:qFormat="1"/>
  </w:latentStyles>
  <w:style w:type="paragraph" w:default="1" w:styleId="Standard">
    <w:name w:val="Normal"/>
    <w:qFormat/>
  </w:style>
  <w:style w:type="paragraph" w:styleId="berschrift1">
    <w:name w:val="heading 1"/>
    <w:basedOn w:val="Standard"/>
    <w:next w:val="Textkrpe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berschrift2">
    <w:name w:val="heading 2"/>
    <w:basedOn w:val="Standard"/>
    <w:next w:val="Textkrper"/>
    <w:link w:val="berschrift2Zchn"/>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berschrift3">
    <w:name w:val="heading 3"/>
    <w:basedOn w:val="Standard"/>
    <w:next w:val="Textkrper"/>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berschrift4">
    <w:name w:val="heading 4"/>
    <w:basedOn w:val="Standard"/>
    <w:next w:val="Textkrpe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berschrift5">
    <w:name w:val="heading 5"/>
    <w:basedOn w:val="Standard"/>
    <w:next w:val="Textkrper"/>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1272F2"/>
    <w:pPr>
      <w:spacing w:before="180" w:after="240" w:line="480" w:lineRule="auto"/>
      <w:ind w:firstLine="680"/>
    </w:pPr>
    <w:rPr>
      <w:rFonts w:ascii="Times New Roman" w:hAnsi="Times New Roman"/>
    </w:rPr>
  </w:style>
  <w:style w:type="paragraph" w:customStyle="1" w:styleId="FirstParagraph">
    <w:name w:val="First Paragraph"/>
    <w:basedOn w:val="Textkrper"/>
    <w:next w:val="Textkrper"/>
    <w:qFormat/>
  </w:style>
  <w:style w:type="paragraph" w:customStyle="1" w:styleId="Compact">
    <w:name w:val="Compact"/>
    <w:basedOn w:val="Textkrper"/>
    <w:qFormat/>
    <w:rsid w:val="00331F8D"/>
    <w:pPr>
      <w:spacing w:before="36" w:after="36"/>
      <w:ind w:firstLine="0"/>
    </w:pPr>
  </w:style>
  <w:style w:type="paragraph" w:styleId="Titel">
    <w:name w:val="Title"/>
    <w:basedOn w:val="Standard"/>
    <w:next w:val="Textkrper"/>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C3842"/>
    <w:pPr>
      <w:keepNext/>
      <w:keepLines/>
      <w:spacing w:line="480" w:lineRule="auto"/>
      <w:jc w:val="center"/>
    </w:pPr>
    <w:rPr>
      <w:rFonts w:ascii="Times New Roman" w:hAnsi="Times New Roman"/>
    </w:rPr>
  </w:style>
  <w:style w:type="paragraph" w:styleId="Datum">
    <w:name w:val="Date"/>
    <w:next w:val="Textkrper"/>
    <w:qFormat/>
    <w:rsid w:val="001272F2"/>
    <w:pPr>
      <w:keepNext/>
      <w:keepLines/>
      <w:spacing w:line="480" w:lineRule="auto"/>
      <w:jc w:val="center"/>
    </w:pPr>
    <w:rPr>
      <w:rFonts w:ascii="Times New Roman" w:hAnsi="Times New Roman"/>
    </w:rPr>
  </w:style>
  <w:style w:type="paragraph" w:customStyle="1" w:styleId="Abstract">
    <w:name w:val="Abstract"/>
    <w:basedOn w:val="Standard"/>
    <w:next w:val="Textkrper"/>
    <w:qFormat/>
    <w:rsid w:val="001272F2"/>
    <w:pPr>
      <w:keepNext/>
      <w:keepLines/>
      <w:spacing w:before="300" w:after="300" w:line="480" w:lineRule="auto"/>
    </w:pPr>
    <w:rPr>
      <w:rFonts w:ascii="Times New Roman" w:hAnsi="Times New Roman"/>
      <w:szCs w:val="20"/>
    </w:rPr>
  </w:style>
  <w:style w:type="paragraph" w:styleId="Literaturverzeichnis">
    <w:name w:val="Bibliography"/>
    <w:basedOn w:val="Standard"/>
    <w:qFormat/>
    <w:rsid w:val="001272F2"/>
    <w:pPr>
      <w:spacing w:line="480" w:lineRule="auto"/>
      <w:ind w:left="680" w:hanging="680"/>
    </w:pPr>
    <w:rPr>
      <w:rFonts w:ascii="Times New Roman" w:hAnsi="Times New Roman"/>
    </w:rPr>
  </w:style>
  <w:style w:type="paragraph" w:styleId="Blocktext">
    <w:name w:val="Block Text"/>
    <w:basedOn w:val="Textkrper"/>
    <w:next w:val="Textkrper"/>
    <w:uiPriority w:val="9"/>
    <w:unhideWhenUsed/>
    <w:qFormat/>
    <w:pPr>
      <w:spacing w:before="100" w:after="100"/>
      <w:ind w:firstLine="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1272F2"/>
    <w:pPr>
      <w:spacing w:line="480" w:lineRule="auto"/>
    </w:pPr>
    <w:rPr>
      <w:rFonts w:ascii="Times New Roman" w:hAnsi="Times New Roman"/>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1272F2"/>
    <w:pPr>
      <w:keepNext/>
      <w:spacing w:after="0" w:line="480" w:lineRule="auto"/>
    </w:pPr>
    <w:rPr>
      <w:rFonts w:ascii="Times New Roman" w:hAnsi="Times New Roman"/>
    </w:rPr>
  </w:style>
  <w:style w:type="paragraph" w:customStyle="1" w:styleId="ImageCaption">
    <w:name w:val="Image Caption"/>
    <w:basedOn w:val="Beschriftung"/>
    <w:rsid w:val="003C3842"/>
    <w:pPr>
      <w:spacing w:line="480" w:lineRule="auto"/>
    </w:pPr>
    <w:rPr>
      <w:rFonts w:ascii="Times New Roman" w:hAnsi="Times New Roman"/>
      <w:i w:val="0"/>
    </w:rPr>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sid w:val="007D3543"/>
    <w:rPr>
      <w:color w:val="4F81BD" w:themeColor="accent1"/>
    </w:rPr>
  </w:style>
  <w:style w:type="paragraph" w:styleId="Inhaltsverzeichnisberschrift">
    <w:name w:val="TOC Heading"/>
    <w:basedOn w:val="berschrift1"/>
    <w:next w:val="Textkrper"/>
    <w:uiPriority w:val="39"/>
    <w:unhideWhenUsed/>
    <w:qFormat/>
    <w:rsid w:val="001272F2"/>
    <w:pPr>
      <w:spacing w:before="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AC3650"/>
    <w:pPr>
      <w:spacing w:after="0"/>
    </w:pPr>
    <w:rPr>
      <w:rFonts w:ascii="Tahoma" w:hAnsi="Tahoma" w:cs="Tahoma"/>
      <w:sz w:val="16"/>
      <w:szCs w:val="16"/>
    </w:rPr>
  </w:style>
  <w:style w:type="character" w:customStyle="1" w:styleId="SprechblasentextZchn">
    <w:name w:val="Sprechblasentext Zchn"/>
    <w:basedOn w:val="Absatz-Standardschriftart"/>
    <w:link w:val="Sprechblasentext"/>
    <w:rsid w:val="00AC3650"/>
    <w:rPr>
      <w:rFonts w:ascii="Tahoma" w:hAnsi="Tahoma" w:cs="Tahoma"/>
      <w:sz w:val="16"/>
      <w:szCs w:val="16"/>
    </w:rPr>
  </w:style>
  <w:style w:type="character" w:customStyle="1" w:styleId="berschrift2Zchn">
    <w:name w:val="Überschrift 2 Zchn"/>
    <w:basedOn w:val="Absatz-Standardschriftart"/>
    <w:link w:val="berschrift2"/>
    <w:uiPriority w:val="9"/>
    <w:rsid w:val="00445C3D"/>
    <w:rPr>
      <w:rFonts w:ascii="Times New Roman" w:eastAsiaTheme="majorEastAsia" w:hAnsi="Times New Roman" w:cstheme="majorBidi"/>
      <w:b/>
      <w:bCs/>
      <w:szCs w:val="32"/>
    </w:rPr>
  </w:style>
  <w:style w:type="character" w:customStyle="1" w:styleId="TextkrperZchn">
    <w:name w:val="Textkörper Zchn"/>
    <w:basedOn w:val="Absatz-Standardschriftart"/>
    <w:link w:val="Textkrper"/>
    <w:rsid w:val="001272F2"/>
    <w:rPr>
      <w:rFonts w:ascii="Times New Roman" w:hAnsi="Times New Roman"/>
    </w:rPr>
  </w:style>
  <w:style w:type="paragraph" w:styleId="Zitat">
    <w:name w:val="Quote"/>
    <w:basedOn w:val="Standard"/>
    <w:next w:val="Standard"/>
    <w:link w:val="ZitatZchn"/>
    <w:rsid w:val="001272F2"/>
    <w:pPr>
      <w:spacing w:after="0" w:line="480" w:lineRule="auto"/>
      <w:ind w:left="680"/>
    </w:pPr>
    <w:rPr>
      <w:rFonts w:ascii="Times New Roman" w:hAnsi="Times New Roman"/>
      <w:iCs/>
      <w:color w:val="000000" w:themeColor="text1"/>
    </w:rPr>
  </w:style>
  <w:style w:type="character" w:customStyle="1" w:styleId="ZitatZchn">
    <w:name w:val="Zitat Zchn"/>
    <w:basedOn w:val="Absatz-Standardschriftart"/>
    <w:link w:val="Zitat"/>
    <w:rsid w:val="001272F2"/>
    <w:rPr>
      <w:rFonts w:ascii="Times New Roman" w:hAnsi="Times New Roman"/>
      <w:iCs/>
      <w:color w:val="000000" w:themeColor="text1"/>
    </w:rPr>
  </w:style>
  <w:style w:type="character" w:styleId="Seitenzahl">
    <w:name w:val="page number"/>
    <w:basedOn w:val="Absatz-Standardschriftart"/>
    <w:rsid w:val="001272F2"/>
    <w:rPr>
      <w:rFonts w:ascii="Times New Roman" w:hAnsi="Times New Roman"/>
      <w:sz w:val="24"/>
    </w:rPr>
  </w:style>
  <w:style w:type="paragraph" w:styleId="Kopfzeile">
    <w:name w:val="header"/>
    <w:basedOn w:val="Standard"/>
    <w:link w:val="KopfzeileZchn"/>
    <w:rsid w:val="001272F2"/>
    <w:pPr>
      <w:tabs>
        <w:tab w:val="center" w:pos="4703"/>
        <w:tab w:val="right" w:pos="9406"/>
      </w:tabs>
      <w:spacing w:after="0" w:line="480" w:lineRule="auto"/>
    </w:pPr>
    <w:rPr>
      <w:rFonts w:ascii="Times New Roman" w:hAnsi="Times New Roman"/>
    </w:rPr>
  </w:style>
  <w:style w:type="character" w:customStyle="1" w:styleId="KopfzeileZchn">
    <w:name w:val="Kopfzeile Zchn"/>
    <w:basedOn w:val="Absatz-Standardschriftart"/>
    <w:link w:val="Kopfzeile"/>
    <w:rsid w:val="001272F2"/>
    <w:rPr>
      <w:rFonts w:ascii="Times New Roman" w:hAnsi="Times New Roman"/>
    </w:rPr>
  </w:style>
  <w:style w:type="paragraph" w:styleId="Abbildungsverzeichnis">
    <w:name w:val="table of figures"/>
    <w:basedOn w:val="Standard"/>
    <w:next w:val="Standard"/>
    <w:rsid w:val="001272F2"/>
    <w:pPr>
      <w:spacing w:after="0" w:line="480" w:lineRule="auto"/>
    </w:pPr>
    <w:rPr>
      <w:rFonts w:ascii="Times New Roman" w:hAnsi="Times New Roman"/>
    </w:rPr>
  </w:style>
  <w:style w:type="paragraph" w:customStyle="1" w:styleId="h1-pagebreak">
    <w:name w:val="h1-pagebreak"/>
    <w:basedOn w:val="berschrift1"/>
    <w:qFormat/>
    <w:rsid w:val="00CC4DBE"/>
    <w:pPr>
      <w:pageBreakBefore/>
    </w:pPr>
  </w:style>
  <w:style w:type="table" w:styleId="Tabellenraster">
    <w:name w:val="Table Grid"/>
    <w:basedOn w:val="NormaleTabelle"/>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NormaleTabelle"/>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hyperlink" Id="rId60" Target="https://CRAN.R-project.org/package=vegan" TargetMode="External" /><Relationship Type="http://schemas.openxmlformats.org/officeDocument/2006/relationships/hyperlink" Id="rId58" Target="https://doi.org/10.1002/9781118445112.stat07841" TargetMode="External" /><Relationship Type="http://schemas.openxmlformats.org/officeDocument/2006/relationships/hyperlink" Id="rId59" Target="https://doi.org/10.1111/j.1574-6976.2010.00251.x" TargetMode="External" /><Relationship Type="http://schemas.openxmlformats.org/officeDocument/2006/relationships/hyperlink" Id="rId62" Target="https://doi.org/10.18637/jss.v077.i01" TargetMode="External" /><Relationship Type="http://schemas.openxmlformats.org/officeDocument/2006/relationships/hyperlink" Id="rId61" Target="https://www.R-project.org/" TargetMode="External" /><Relationship Type="http://schemas.openxmlformats.org/officeDocument/2006/relationships/hyperlink" Id="rId22" Target="mailto:h.eckermann@student.ru.nl" TargetMode="External" /></Relationships>
</file>

<file path=word/_rels/footnotes.xml.rels><?xml version="1.0" encoding="UTF-8"?>
<Relationships xmlns="http://schemas.openxmlformats.org/package/2006/relationships"><Relationship Type="http://schemas.openxmlformats.org/officeDocument/2006/relationships/hyperlink" Id="rId60" Target="https://CRAN.R-project.org/package=vegan" TargetMode="External" /><Relationship Type="http://schemas.openxmlformats.org/officeDocument/2006/relationships/hyperlink" Id="rId58" Target="https://doi.org/10.1002/9781118445112.stat07841" TargetMode="External" /><Relationship Type="http://schemas.openxmlformats.org/officeDocument/2006/relationships/hyperlink" Id="rId59" Target="https://doi.org/10.1111/j.1574-6976.2010.00251.x" TargetMode="External" /><Relationship Type="http://schemas.openxmlformats.org/officeDocument/2006/relationships/hyperlink" Id="rId62" Target="https://doi.org/10.18637/jss.v077.i01" TargetMode="External" /><Relationship Type="http://schemas.openxmlformats.org/officeDocument/2006/relationships/hyperlink" Id="rId61" Target="https://www.R-project.org/" TargetMode="External" /><Relationship Type="http://schemas.openxmlformats.org/officeDocument/2006/relationships/hyperlink" Id="rId22" Target="mailto:h.eckermann@student.ru.n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Relations between early entrance to childcare and infant intestinal microbiota</dc:title>
  <dc:creator/>
  <dcterms:created xsi:type="dcterms:W3CDTF">2019-01-28T21:13:05Z</dcterms:created>
  <dcterms:modified xsi:type="dcterms:W3CDTF">2019-01-28T21:13:05Z</dcterms:modified>
</cp:coreProperties>
</file>